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4"/>
          <w:szCs w:val="44"/>
        </w:rPr>
      </w:pPr>
      <w:r>
        <w:rPr>
          <w:rFonts w:hint="eastAsia" w:ascii="黑体" w:hAnsi="黑体" w:eastAsia="黑体"/>
          <w:sz w:val="34"/>
          <w:szCs w:val="44"/>
        </w:rPr>
        <w:t>江西软件职业技术大学202</w:t>
      </w:r>
      <w:r>
        <w:rPr>
          <w:rFonts w:hint="eastAsia" w:ascii="黑体" w:hAnsi="黑体" w:eastAsia="黑体"/>
          <w:sz w:val="34"/>
          <w:szCs w:val="44"/>
          <w:lang w:val="en-US" w:eastAsia="zh-CN"/>
        </w:rPr>
        <w:t>1</w:t>
      </w:r>
      <w:bookmarkStart w:id="0" w:name="_GoBack"/>
      <w:bookmarkEnd w:id="0"/>
      <w:r>
        <w:rPr>
          <w:rFonts w:hint="eastAsia" w:ascii="黑体" w:hAnsi="黑体" w:eastAsia="黑体"/>
          <w:sz w:val="34"/>
          <w:szCs w:val="44"/>
        </w:rPr>
        <w:t>年普通专升本考试</w:t>
      </w:r>
    </w:p>
    <w:p>
      <w:pPr>
        <w:spacing w:after="312" w:afterLines="100"/>
        <w:jc w:val="center"/>
        <w:rPr>
          <w:rFonts w:ascii="黑体" w:hAnsi="黑体" w:eastAsia="黑体"/>
          <w:sz w:val="34"/>
          <w:szCs w:val="44"/>
        </w:rPr>
      </w:pPr>
      <w:r>
        <w:rPr>
          <w:rFonts w:hint="eastAsia" w:ascii="黑体" w:hAnsi="黑体" w:eastAsia="黑体"/>
          <w:sz w:val="34"/>
          <w:szCs w:val="44"/>
        </w:rPr>
        <w:t>《管理</w:t>
      </w:r>
      <w:r>
        <w:rPr>
          <w:rFonts w:ascii="黑体" w:hAnsi="黑体" w:eastAsia="黑体"/>
          <w:sz w:val="34"/>
          <w:szCs w:val="44"/>
        </w:rPr>
        <w:t>学</w:t>
      </w:r>
      <w:r>
        <w:rPr>
          <w:rFonts w:hint="eastAsia" w:ascii="黑体" w:hAnsi="黑体" w:eastAsia="黑体"/>
          <w:sz w:val="34"/>
          <w:szCs w:val="44"/>
        </w:rPr>
        <w:t>》考试大纲</w:t>
      </w:r>
    </w:p>
    <w:p>
      <w:pPr>
        <w:ind w:firstLine="300" w:firstLineChars="100"/>
        <w:rPr>
          <w:rFonts w:ascii="黑体" w:hAnsi="黑体" w:eastAsia="黑体" w:cs="黑体"/>
          <w:bCs/>
          <w:sz w:val="30"/>
          <w:szCs w:val="30"/>
        </w:rPr>
      </w:pPr>
      <w:r>
        <w:rPr>
          <w:rFonts w:hint="eastAsia" w:ascii="黑体" w:hAnsi="黑体" w:eastAsia="黑体" w:cs="黑体"/>
          <w:bCs/>
          <w:sz w:val="30"/>
          <w:szCs w:val="30"/>
        </w:rPr>
        <w:t>一、考试对象</w:t>
      </w:r>
    </w:p>
    <w:p>
      <w:pPr>
        <w:pStyle w:val="12"/>
        <w:ind w:left="420" w:firstLine="0" w:firstLineChars="0"/>
        <w:rPr>
          <w:rFonts w:ascii="仿宋" w:hAnsi="仿宋" w:eastAsia="仿宋"/>
          <w:sz w:val="24"/>
          <w:szCs w:val="28"/>
        </w:rPr>
      </w:pPr>
      <w:r>
        <w:rPr>
          <w:rFonts w:hint="eastAsia" w:ascii="仿宋" w:hAnsi="仿宋" w:eastAsia="仿宋" w:cs="仿宋_GB2312"/>
          <w:sz w:val="28"/>
          <w:szCs w:val="32"/>
        </w:rPr>
        <w:t>本大纲适用于报考江西软件职业技术大学专升本的考生。</w:t>
      </w:r>
    </w:p>
    <w:p>
      <w:pPr>
        <w:ind w:firstLine="300" w:firstLineChars="100"/>
        <w:rPr>
          <w:rFonts w:ascii="黑体" w:hAnsi="黑体" w:eastAsia="黑体" w:cs="黑体"/>
          <w:bCs/>
          <w:sz w:val="30"/>
          <w:szCs w:val="30"/>
        </w:rPr>
      </w:pPr>
      <w:r>
        <w:rPr>
          <w:rFonts w:hint="eastAsia" w:ascii="黑体" w:hAnsi="黑体" w:eastAsia="黑体" w:cs="黑体"/>
          <w:bCs/>
          <w:sz w:val="30"/>
          <w:szCs w:val="30"/>
        </w:rPr>
        <w:t>二、考试方式</w:t>
      </w:r>
    </w:p>
    <w:p>
      <w:pPr>
        <w:pStyle w:val="12"/>
        <w:ind w:left="420" w:firstLine="0" w:firstLineChars="0"/>
        <w:rPr>
          <w:rFonts w:ascii="仿宋_GB2312" w:hAnsi="仿宋_GB2312" w:eastAsia="仿宋_GB2312" w:cs="仿宋_GB2312"/>
          <w:sz w:val="28"/>
          <w:szCs w:val="32"/>
        </w:rPr>
      </w:pPr>
      <w:r>
        <w:rPr>
          <w:rFonts w:hint="eastAsia" w:ascii="仿宋_GB2312" w:hAnsi="仿宋_GB2312" w:eastAsia="仿宋_GB2312" w:cs="仿宋_GB2312"/>
          <w:sz w:val="28"/>
          <w:szCs w:val="32"/>
        </w:rPr>
        <w:t>闭卷笔试。</w:t>
      </w:r>
    </w:p>
    <w:p>
      <w:pPr>
        <w:ind w:firstLine="300" w:firstLineChars="100"/>
        <w:rPr>
          <w:rFonts w:ascii="黑体" w:hAnsi="黑体" w:eastAsia="黑体" w:cs="黑体"/>
          <w:bCs/>
          <w:sz w:val="30"/>
          <w:szCs w:val="30"/>
        </w:rPr>
      </w:pPr>
      <w:r>
        <w:rPr>
          <w:rFonts w:hint="eastAsia" w:ascii="黑体" w:hAnsi="黑体" w:eastAsia="黑体" w:cs="黑体"/>
          <w:bCs/>
          <w:sz w:val="30"/>
          <w:szCs w:val="30"/>
        </w:rPr>
        <w:t>三、考试题型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选择题、判断</w:t>
      </w:r>
      <w:r>
        <w:rPr>
          <w:rFonts w:ascii="仿宋" w:hAnsi="仿宋" w:eastAsia="仿宋" w:cs="黑体"/>
          <w:bCs/>
          <w:sz w:val="28"/>
          <w:szCs w:val="28"/>
        </w:rPr>
        <w:t>题、</w:t>
      </w:r>
      <w:r>
        <w:rPr>
          <w:rFonts w:hint="eastAsia" w:ascii="仿宋" w:hAnsi="仿宋" w:eastAsia="仿宋" w:cs="黑体"/>
          <w:bCs/>
          <w:sz w:val="28"/>
          <w:szCs w:val="28"/>
        </w:rPr>
        <w:t>简答题、论述题、案例</w:t>
      </w:r>
      <w:r>
        <w:rPr>
          <w:rFonts w:ascii="仿宋" w:hAnsi="仿宋" w:eastAsia="仿宋" w:cs="黑体"/>
          <w:bCs/>
          <w:sz w:val="28"/>
          <w:szCs w:val="28"/>
        </w:rPr>
        <w:t>分析</w:t>
      </w:r>
      <w:r>
        <w:rPr>
          <w:rFonts w:hint="eastAsia" w:ascii="仿宋" w:hAnsi="仿宋" w:eastAsia="仿宋" w:cs="黑体"/>
          <w:bCs/>
          <w:sz w:val="28"/>
          <w:szCs w:val="28"/>
        </w:rPr>
        <w:t>题。</w:t>
      </w:r>
    </w:p>
    <w:p>
      <w:pPr>
        <w:ind w:firstLine="300" w:firstLineChars="100"/>
        <w:rPr>
          <w:rFonts w:ascii="黑体" w:hAnsi="黑体" w:eastAsia="黑体" w:cs="黑体"/>
          <w:bCs/>
          <w:sz w:val="30"/>
          <w:szCs w:val="30"/>
        </w:rPr>
      </w:pPr>
      <w:r>
        <w:rPr>
          <w:rFonts w:hint="eastAsia" w:ascii="黑体" w:hAnsi="黑体" w:eastAsia="黑体" w:cs="黑体"/>
          <w:bCs/>
          <w:sz w:val="30"/>
          <w:szCs w:val="30"/>
        </w:rPr>
        <w:t>四、参考教材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《管理</w:t>
      </w:r>
      <w:r>
        <w:rPr>
          <w:rFonts w:ascii="仿宋" w:hAnsi="仿宋" w:eastAsia="仿宋" w:cs="黑体"/>
          <w:bCs/>
          <w:sz w:val="28"/>
          <w:szCs w:val="28"/>
        </w:rPr>
        <w:t>学</w:t>
      </w:r>
      <w:r>
        <w:rPr>
          <w:rFonts w:hint="eastAsia" w:ascii="仿宋" w:hAnsi="仿宋" w:eastAsia="仿宋" w:cs="黑体"/>
          <w:bCs/>
          <w:sz w:val="28"/>
          <w:szCs w:val="28"/>
        </w:rPr>
        <w:t>》（第</w:t>
      </w:r>
      <w:r>
        <w:rPr>
          <w:rFonts w:ascii="仿宋" w:hAnsi="仿宋" w:eastAsia="仿宋" w:cs="黑体"/>
          <w:bCs/>
          <w:sz w:val="28"/>
          <w:szCs w:val="28"/>
        </w:rPr>
        <w:t>六版</w:t>
      </w:r>
      <w:r>
        <w:rPr>
          <w:rFonts w:hint="eastAsia" w:ascii="仿宋" w:hAnsi="仿宋" w:eastAsia="仿宋" w:cs="黑体"/>
          <w:bCs/>
          <w:sz w:val="28"/>
          <w:szCs w:val="28"/>
        </w:rPr>
        <w:t>）</w:t>
      </w:r>
      <w:r>
        <w:rPr>
          <w:rFonts w:ascii="仿宋" w:hAnsi="仿宋" w:eastAsia="仿宋" w:cs="黑体"/>
          <w:bCs/>
          <w:sz w:val="28"/>
          <w:szCs w:val="28"/>
        </w:rPr>
        <w:t>吴照云</w:t>
      </w:r>
      <w:r>
        <w:rPr>
          <w:rFonts w:hint="eastAsia" w:ascii="仿宋" w:hAnsi="仿宋" w:eastAsia="仿宋" w:cs="黑体"/>
          <w:bCs/>
          <w:sz w:val="28"/>
          <w:szCs w:val="28"/>
        </w:rPr>
        <w:t>主编 中国社会科学出版社。</w:t>
      </w:r>
    </w:p>
    <w:p>
      <w:pPr>
        <w:ind w:firstLine="300" w:firstLineChars="100"/>
        <w:rPr>
          <w:rFonts w:ascii="黑体" w:hAnsi="黑体" w:eastAsia="黑体" w:cs="黑体"/>
          <w:bCs/>
          <w:sz w:val="30"/>
          <w:szCs w:val="30"/>
        </w:rPr>
      </w:pPr>
      <w:r>
        <w:rPr>
          <w:rFonts w:hint="eastAsia" w:ascii="黑体" w:hAnsi="黑体" w:eastAsia="黑体" w:cs="黑体"/>
          <w:bCs/>
          <w:sz w:val="30"/>
          <w:szCs w:val="30"/>
        </w:rPr>
        <w:t>五、考试大纲</w:t>
      </w:r>
    </w:p>
    <w:p>
      <w:pPr>
        <w:ind w:firstLine="280" w:firstLineChars="10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（一）管理与管理者</w:t>
      </w:r>
    </w:p>
    <w:p>
      <w:pPr>
        <w:pStyle w:val="12"/>
        <w:numPr>
          <w:ilvl w:val="0"/>
          <w:numId w:val="1"/>
        </w:numPr>
        <w:ind w:firstLineChars="0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什么是管理、管理工作的性质；</w:t>
      </w:r>
    </w:p>
    <w:p>
      <w:pPr>
        <w:pStyle w:val="12"/>
        <w:numPr>
          <w:ilvl w:val="0"/>
          <w:numId w:val="1"/>
        </w:numPr>
        <w:ind w:firstLineChars="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管理的应用范围、管理的基本职能；</w:t>
      </w:r>
    </w:p>
    <w:p>
      <w:pPr>
        <w:pStyle w:val="12"/>
        <w:numPr>
          <w:ilvl w:val="0"/>
          <w:numId w:val="1"/>
        </w:numPr>
        <w:ind w:firstLineChars="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管理者的工作、管理人员的分类、管理人员的技能要求；</w:t>
      </w:r>
    </w:p>
    <w:p>
      <w:pPr>
        <w:pStyle w:val="12"/>
        <w:numPr>
          <w:ilvl w:val="0"/>
          <w:numId w:val="1"/>
        </w:numPr>
        <w:ind w:firstLineChars="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管理学——带你了解管理的真谛、如何学习管理学。</w:t>
      </w:r>
    </w:p>
    <w:p>
      <w:pPr>
        <w:ind w:firstLine="280" w:firstLineChars="10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（二）中国传统管理思想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1.中国传统管理思想概述；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2</w:t>
      </w:r>
      <w:r>
        <w:rPr>
          <w:rFonts w:ascii="仿宋" w:hAnsi="仿宋" w:eastAsia="仿宋" w:cs="黑体"/>
          <w:bCs/>
          <w:sz w:val="28"/>
          <w:szCs w:val="28"/>
        </w:rPr>
        <w:t>.</w:t>
      </w:r>
      <w:r>
        <w:rPr>
          <w:rFonts w:hint="eastAsia" w:ascii="仿宋" w:hAnsi="仿宋" w:eastAsia="仿宋" w:cs="黑体"/>
          <w:bCs/>
          <w:sz w:val="28"/>
          <w:szCs w:val="28"/>
        </w:rPr>
        <w:t>儒家管理思想、道家管理思想、法家管理思想、兵家管理思想</w:t>
      </w:r>
      <w:r>
        <w:rPr>
          <w:rFonts w:ascii="仿宋" w:hAnsi="仿宋" w:eastAsia="仿宋" w:cs="黑体"/>
          <w:bCs/>
          <w:sz w:val="28"/>
          <w:szCs w:val="28"/>
        </w:rPr>
        <w:t>、</w:t>
      </w:r>
      <w:r>
        <w:rPr>
          <w:rFonts w:hint="eastAsia" w:ascii="仿宋" w:hAnsi="仿宋" w:eastAsia="仿宋" w:cs="黑体"/>
          <w:bCs/>
          <w:sz w:val="28"/>
          <w:szCs w:val="28"/>
        </w:rPr>
        <w:t>佛家管理思想；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3</w:t>
      </w:r>
      <w:r>
        <w:rPr>
          <w:rFonts w:ascii="仿宋" w:hAnsi="仿宋" w:eastAsia="仿宋" w:cs="黑体"/>
          <w:bCs/>
          <w:sz w:val="28"/>
          <w:szCs w:val="28"/>
        </w:rPr>
        <w:t>.</w:t>
      </w:r>
      <w:r>
        <w:rPr>
          <w:rFonts w:hint="eastAsia" w:ascii="仿宋" w:hAnsi="仿宋" w:eastAsia="仿宋" w:cs="黑体"/>
          <w:bCs/>
          <w:sz w:val="28"/>
          <w:szCs w:val="28"/>
        </w:rPr>
        <w:t>中国管理思想的现代应用。</w:t>
      </w:r>
    </w:p>
    <w:p>
      <w:pPr>
        <w:ind w:firstLine="280" w:firstLineChars="10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（三）管理思想与理论沿革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1</w:t>
      </w:r>
      <w:r>
        <w:rPr>
          <w:rFonts w:ascii="仿宋" w:hAnsi="仿宋" w:eastAsia="仿宋" w:cs="黑体"/>
          <w:bCs/>
          <w:sz w:val="28"/>
          <w:szCs w:val="28"/>
        </w:rPr>
        <w:t>.</w:t>
      </w:r>
      <w:r>
        <w:rPr>
          <w:rFonts w:hint="eastAsia" w:ascii="仿宋" w:hAnsi="仿宋" w:eastAsia="仿宋" w:cs="黑体"/>
          <w:bCs/>
          <w:sz w:val="28"/>
          <w:szCs w:val="28"/>
        </w:rPr>
        <w:t>西方管理理论沿革脉络；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2</w:t>
      </w:r>
      <w:r>
        <w:rPr>
          <w:rFonts w:ascii="仿宋" w:hAnsi="仿宋" w:eastAsia="仿宋" w:cs="黑体"/>
          <w:bCs/>
          <w:sz w:val="28"/>
          <w:szCs w:val="28"/>
        </w:rPr>
        <w:t>.</w:t>
      </w:r>
      <w:r>
        <w:rPr>
          <w:rFonts w:hint="eastAsia" w:ascii="仿宋" w:hAnsi="仿宋" w:eastAsia="仿宋" w:cs="黑体"/>
          <w:bCs/>
          <w:sz w:val="28"/>
          <w:szCs w:val="28"/>
        </w:rPr>
        <w:t>关注效率的管理理论、关注效果的管理理论、关注人的管理理论；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3</w:t>
      </w:r>
      <w:r>
        <w:rPr>
          <w:rFonts w:ascii="仿宋" w:hAnsi="仿宋" w:eastAsia="仿宋" w:cs="黑体"/>
          <w:bCs/>
          <w:sz w:val="28"/>
          <w:szCs w:val="28"/>
        </w:rPr>
        <w:t>.</w:t>
      </w:r>
      <w:r>
        <w:rPr>
          <w:rFonts w:hint="eastAsia" w:ascii="仿宋" w:hAnsi="仿宋" w:eastAsia="仿宋" w:cs="黑体"/>
          <w:bCs/>
          <w:sz w:val="28"/>
          <w:szCs w:val="28"/>
        </w:rPr>
        <w:t>走出管理理论丛林。</w:t>
      </w:r>
    </w:p>
    <w:p>
      <w:pPr>
        <w:ind w:firstLine="280" w:firstLineChars="10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（四）管理环境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1</w:t>
      </w:r>
      <w:r>
        <w:rPr>
          <w:rFonts w:ascii="仿宋" w:hAnsi="仿宋" w:eastAsia="仿宋" w:cs="黑体"/>
          <w:bCs/>
          <w:sz w:val="28"/>
          <w:szCs w:val="28"/>
        </w:rPr>
        <w:t>.管理的环境分析</w:t>
      </w:r>
      <w:r>
        <w:rPr>
          <w:rFonts w:hint="eastAsia" w:ascii="仿宋" w:hAnsi="仿宋" w:eastAsia="仿宋" w:cs="黑体"/>
          <w:bCs/>
          <w:sz w:val="28"/>
          <w:szCs w:val="28"/>
        </w:rPr>
        <w:t>、</w:t>
      </w:r>
      <w:r>
        <w:rPr>
          <w:rFonts w:ascii="Calibri" w:hAnsi="Calibri" w:eastAsia="仿宋" w:cs="Calibri"/>
          <w:bCs/>
          <w:sz w:val="28"/>
          <w:szCs w:val="28"/>
        </w:rPr>
        <w:t> </w:t>
      </w:r>
      <w:r>
        <w:rPr>
          <w:rFonts w:ascii="仿宋" w:hAnsi="仿宋" w:eastAsia="仿宋" w:cs="黑体"/>
          <w:bCs/>
          <w:sz w:val="28"/>
          <w:szCs w:val="28"/>
        </w:rPr>
        <w:t>环境的不确定性</w:t>
      </w:r>
      <w:r>
        <w:rPr>
          <w:rFonts w:hint="eastAsia" w:ascii="仿宋" w:hAnsi="仿宋" w:eastAsia="仿宋" w:cs="黑体"/>
          <w:bCs/>
          <w:sz w:val="28"/>
          <w:szCs w:val="28"/>
        </w:rPr>
        <w:t>；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2.</w:t>
      </w:r>
      <w:r>
        <w:rPr>
          <w:rFonts w:ascii="Calibri" w:hAnsi="Calibri" w:eastAsia="仿宋" w:cs="Calibri"/>
          <w:bCs/>
          <w:sz w:val="28"/>
          <w:szCs w:val="28"/>
        </w:rPr>
        <w:t> </w:t>
      </w:r>
      <w:r>
        <w:rPr>
          <w:rFonts w:ascii="仿宋" w:hAnsi="仿宋" w:eastAsia="仿宋" w:cs="黑体"/>
          <w:bCs/>
          <w:sz w:val="28"/>
          <w:szCs w:val="28"/>
        </w:rPr>
        <w:t>组织文化</w:t>
      </w:r>
      <w:r>
        <w:rPr>
          <w:rFonts w:hint="eastAsia" w:ascii="仿宋" w:hAnsi="仿宋" w:eastAsia="仿宋" w:cs="黑体"/>
          <w:bCs/>
          <w:sz w:val="28"/>
          <w:szCs w:val="28"/>
        </w:rPr>
        <w:t>、</w:t>
      </w:r>
      <w:r>
        <w:rPr>
          <w:rFonts w:ascii="仿宋" w:hAnsi="仿宋" w:eastAsia="仿宋" w:cs="黑体"/>
          <w:bCs/>
          <w:sz w:val="28"/>
          <w:szCs w:val="28"/>
        </w:rPr>
        <w:t>社会责任与管理伦理</w:t>
      </w:r>
      <w:r>
        <w:rPr>
          <w:rFonts w:hint="eastAsia" w:ascii="仿宋" w:hAnsi="仿宋" w:eastAsia="仿宋" w:cs="黑体"/>
          <w:bCs/>
          <w:sz w:val="28"/>
          <w:szCs w:val="28"/>
        </w:rPr>
        <w:t>；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3</w:t>
      </w:r>
      <w:r>
        <w:rPr>
          <w:rFonts w:ascii="仿宋" w:hAnsi="仿宋" w:eastAsia="仿宋" w:cs="黑体"/>
          <w:bCs/>
          <w:sz w:val="28"/>
          <w:szCs w:val="28"/>
        </w:rPr>
        <w:t>.</w:t>
      </w:r>
      <w:r>
        <w:rPr>
          <w:rFonts w:ascii="Calibri" w:hAnsi="Calibri" w:eastAsia="仿宋" w:cs="Calibri"/>
          <w:bCs/>
          <w:sz w:val="28"/>
          <w:szCs w:val="28"/>
        </w:rPr>
        <w:t> </w:t>
      </w:r>
      <w:r>
        <w:rPr>
          <w:rFonts w:ascii="仿宋" w:hAnsi="仿宋" w:eastAsia="仿宋" w:cs="黑体"/>
          <w:bCs/>
          <w:sz w:val="28"/>
          <w:szCs w:val="28"/>
        </w:rPr>
        <w:t>全球化与跨文化管理</w:t>
      </w:r>
      <w:r>
        <w:rPr>
          <w:rFonts w:hint="eastAsia" w:ascii="仿宋" w:hAnsi="仿宋" w:eastAsia="仿宋" w:cs="黑体"/>
          <w:bCs/>
          <w:sz w:val="28"/>
          <w:szCs w:val="28"/>
        </w:rPr>
        <w:t>。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（五）目标与目标管理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 xml:space="preserve">1.目标的性质、目标的分类； 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2.目标的确定、目标管理。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（六）计划工作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 xml:space="preserve">1.计划的性质、计划的步骤与计划评价标准； 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 xml:space="preserve">2.计划工作的原则、现代计划技术与方法； 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3.企业战略管理。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（七） 决策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 xml:space="preserve">1.决策的性质、决策的类型、决策的过程； 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2.定性决策方法、定量决策技术。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（八） 组织设计与运作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ascii="仿宋" w:hAnsi="仿宋" w:eastAsia="仿宋" w:cs="黑体"/>
          <w:bCs/>
          <w:sz w:val="28"/>
          <w:szCs w:val="28"/>
        </w:rPr>
        <w:t>1</w:t>
      </w:r>
      <w:r>
        <w:rPr>
          <w:rFonts w:ascii="宋体" w:hAnsi="宋体" w:cs="宋体"/>
          <w:sz w:val="24"/>
        </w:rPr>
        <w:t>.</w:t>
      </w:r>
      <w:r>
        <w:rPr>
          <w:rFonts w:hint="eastAsia" w:ascii="仿宋" w:hAnsi="仿宋" w:eastAsia="仿宋" w:cs="黑体"/>
          <w:bCs/>
          <w:sz w:val="28"/>
          <w:szCs w:val="28"/>
        </w:rPr>
        <w:t>组织的性质、组织设计的基本原则；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2.组织设计的相关因素、组织设计的程序；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3.组织设计的常见结构、组织设计的新型结构、人员配备。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（九） 组织变革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1.组织变革的性格、组织变革的原因、组织变革的内容；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2.组织变革的程序与方法、组织变革的成本与收益；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3.组织变革的阻力与策略。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（十） 领导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 xml:space="preserve">1.管理者与领导者； 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2.领导特质理论、领导方式理论、领导权变理论；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3.新型领导方式、领导艺术。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（十一） 沟通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1.沟通的性质、沟通的分类、沟通的渠道；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2.沟通的障碍、沟通的技巧、信息技术与沟通。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（十二） 激励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1.激励的性质、激励的理论、激励的方式；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2.激励的原则、激励的技巧。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第五篇 控制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（十三） 控制工作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1.控制的定义、控制的过程、控制的基本类型；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2.有效控制的原则、有效控制的特性。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（十四） 控制方法</w:t>
      </w:r>
    </w:p>
    <w:p>
      <w:pPr>
        <w:ind w:firstLine="480" w:firstLineChars="20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宋体" w:hAnsi="宋体" w:cs="宋体"/>
          <w:bCs/>
          <w:sz w:val="24"/>
        </w:rPr>
        <w:t>1.</w:t>
      </w:r>
      <w:r>
        <w:rPr>
          <w:rFonts w:hint="eastAsia" w:ascii="仿宋" w:hAnsi="仿宋" w:eastAsia="仿宋" w:cs="黑体"/>
          <w:bCs/>
          <w:sz w:val="28"/>
          <w:szCs w:val="28"/>
        </w:rPr>
        <w:t>预算控制、作业控制、管理信息与有效控制；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  <w:r>
        <w:rPr>
          <w:rFonts w:hint="eastAsia" w:ascii="仿宋" w:hAnsi="仿宋" w:eastAsia="仿宋" w:cs="黑体"/>
          <w:bCs/>
          <w:sz w:val="28"/>
          <w:szCs w:val="28"/>
        </w:rPr>
        <w:t>2.绩效考核、平衡计分卡、其他控制方法。</w:t>
      </w:r>
    </w:p>
    <w:p>
      <w:pPr>
        <w:ind w:firstLine="420" w:firstLineChars="150"/>
        <w:jc w:val="left"/>
        <w:rPr>
          <w:rFonts w:ascii="仿宋" w:hAnsi="仿宋" w:eastAsia="仿宋" w:cs="黑体"/>
          <w:bCs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C3894"/>
    <w:multiLevelType w:val="multilevel"/>
    <w:tmpl w:val="1BBC3894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AA0"/>
    <w:rsid w:val="000056D6"/>
    <w:rsid w:val="00012040"/>
    <w:rsid w:val="000120D6"/>
    <w:rsid w:val="00013CBB"/>
    <w:rsid w:val="000152F5"/>
    <w:rsid w:val="00083B58"/>
    <w:rsid w:val="00086B1E"/>
    <w:rsid w:val="000C277B"/>
    <w:rsid w:val="000C5235"/>
    <w:rsid w:val="000D0D81"/>
    <w:rsid w:val="000E19F5"/>
    <w:rsid w:val="000F69D1"/>
    <w:rsid w:val="00116251"/>
    <w:rsid w:val="00121872"/>
    <w:rsid w:val="00174751"/>
    <w:rsid w:val="00186525"/>
    <w:rsid w:val="001A5D17"/>
    <w:rsid w:val="001B40F8"/>
    <w:rsid w:val="001E70FF"/>
    <w:rsid w:val="001F29D8"/>
    <w:rsid w:val="001F7162"/>
    <w:rsid w:val="00215281"/>
    <w:rsid w:val="002161C4"/>
    <w:rsid w:val="002317D4"/>
    <w:rsid w:val="00275560"/>
    <w:rsid w:val="002A028A"/>
    <w:rsid w:val="002E5E43"/>
    <w:rsid w:val="002E7901"/>
    <w:rsid w:val="00304464"/>
    <w:rsid w:val="00316CC6"/>
    <w:rsid w:val="0033481E"/>
    <w:rsid w:val="00361F35"/>
    <w:rsid w:val="0038202C"/>
    <w:rsid w:val="003B2EA7"/>
    <w:rsid w:val="003B3A46"/>
    <w:rsid w:val="003C74F0"/>
    <w:rsid w:val="003D3606"/>
    <w:rsid w:val="003D4076"/>
    <w:rsid w:val="003D4F9A"/>
    <w:rsid w:val="003F4C93"/>
    <w:rsid w:val="00406980"/>
    <w:rsid w:val="0043295B"/>
    <w:rsid w:val="00467218"/>
    <w:rsid w:val="00471690"/>
    <w:rsid w:val="00480AE9"/>
    <w:rsid w:val="00485780"/>
    <w:rsid w:val="00486CAE"/>
    <w:rsid w:val="004E1674"/>
    <w:rsid w:val="00503C0C"/>
    <w:rsid w:val="00504E1B"/>
    <w:rsid w:val="005051FF"/>
    <w:rsid w:val="00507FE2"/>
    <w:rsid w:val="00537E23"/>
    <w:rsid w:val="00542A65"/>
    <w:rsid w:val="00551AF2"/>
    <w:rsid w:val="00562F0A"/>
    <w:rsid w:val="00591A38"/>
    <w:rsid w:val="00596488"/>
    <w:rsid w:val="005B15E2"/>
    <w:rsid w:val="005F02B9"/>
    <w:rsid w:val="005F2351"/>
    <w:rsid w:val="006023FF"/>
    <w:rsid w:val="00613594"/>
    <w:rsid w:val="006154CE"/>
    <w:rsid w:val="00656D13"/>
    <w:rsid w:val="006A52C6"/>
    <w:rsid w:val="006B1120"/>
    <w:rsid w:val="006B2FB3"/>
    <w:rsid w:val="006C298C"/>
    <w:rsid w:val="006C2EDC"/>
    <w:rsid w:val="006E2C00"/>
    <w:rsid w:val="007851F2"/>
    <w:rsid w:val="00785BFC"/>
    <w:rsid w:val="00790BA2"/>
    <w:rsid w:val="007A1F0B"/>
    <w:rsid w:val="007A64C5"/>
    <w:rsid w:val="007C6DF6"/>
    <w:rsid w:val="007F7CDA"/>
    <w:rsid w:val="0080611B"/>
    <w:rsid w:val="00817B57"/>
    <w:rsid w:val="0084545B"/>
    <w:rsid w:val="008C063D"/>
    <w:rsid w:val="009035AD"/>
    <w:rsid w:val="00914154"/>
    <w:rsid w:val="00927620"/>
    <w:rsid w:val="009279C2"/>
    <w:rsid w:val="00930205"/>
    <w:rsid w:val="00954A68"/>
    <w:rsid w:val="0099111D"/>
    <w:rsid w:val="00997E71"/>
    <w:rsid w:val="009A4BFA"/>
    <w:rsid w:val="009C58FD"/>
    <w:rsid w:val="009C76DB"/>
    <w:rsid w:val="00A12C1D"/>
    <w:rsid w:val="00A46325"/>
    <w:rsid w:val="00A632BE"/>
    <w:rsid w:val="00A65F5A"/>
    <w:rsid w:val="00A9262B"/>
    <w:rsid w:val="00AA4AA0"/>
    <w:rsid w:val="00AC6ABB"/>
    <w:rsid w:val="00AD219A"/>
    <w:rsid w:val="00AF2B96"/>
    <w:rsid w:val="00B0313E"/>
    <w:rsid w:val="00B1542C"/>
    <w:rsid w:val="00B17504"/>
    <w:rsid w:val="00B24F60"/>
    <w:rsid w:val="00B266D7"/>
    <w:rsid w:val="00B34100"/>
    <w:rsid w:val="00B84C3C"/>
    <w:rsid w:val="00B956F0"/>
    <w:rsid w:val="00BA50E2"/>
    <w:rsid w:val="00BB09CB"/>
    <w:rsid w:val="00BB0C00"/>
    <w:rsid w:val="00C0681C"/>
    <w:rsid w:val="00C10866"/>
    <w:rsid w:val="00C208C1"/>
    <w:rsid w:val="00C24D3C"/>
    <w:rsid w:val="00C955C0"/>
    <w:rsid w:val="00C97067"/>
    <w:rsid w:val="00CC329C"/>
    <w:rsid w:val="00CC398F"/>
    <w:rsid w:val="00CC7A17"/>
    <w:rsid w:val="00CE35AA"/>
    <w:rsid w:val="00D23FA2"/>
    <w:rsid w:val="00D7782D"/>
    <w:rsid w:val="00D8565C"/>
    <w:rsid w:val="00D92D2C"/>
    <w:rsid w:val="00DA203A"/>
    <w:rsid w:val="00DA31A9"/>
    <w:rsid w:val="00DD1347"/>
    <w:rsid w:val="00DE456A"/>
    <w:rsid w:val="00DF3ABB"/>
    <w:rsid w:val="00E00C7B"/>
    <w:rsid w:val="00E10382"/>
    <w:rsid w:val="00E16BED"/>
    <w:rsid w:val="00E40D16"/>
    <w:rsid w:val="00E42359"/>
    <w:rsid w:val="00E60BC7"/>
    <w:rsid w:val="00E729CF"/>
    <w:rsid w:val="00EC62A4"/>
    <w:rsid w:val="00F32090"/>
    <w:rsid w:val="00FC5313"/>
    <w:rsid w:val="00FE0830"/>
    <w:rsid w:val="00FF5AC2"/>
    <w:rsid w:val="1B222B5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character" w:styleId="10">
    <w:name w:val="Hyperlink"/>
    <w:basedOn w:val="9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4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9"/>
    <w:link w:val="4"/>
    <w:uiPriority w:val="99"/>
    <w:rPr>
      <w:sz w:val="18"/>
      <w:szCs w:val="18"/>
    </w:rPr>
  </w:style>
  <w:style w:type="character" w:customStyle="1" w:styleId="16">
    <w:name w:val="批注文字 Char"/>
    <w:basedOn w:val="9"/>
    <w:link w:val="2"/>
    <w:semiHidden/>
    <w:qFormat/>
    <w:uiPriority w:val="99"/>
  </w:style>
  <w:style w:type="character" w:customStyle="1" w:styleId="17">
    <w:name w:val="批注主题 Char"/>
    <w:basedOn w:val="16"/>
    <w:link w:val="7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38A37C-1FAE-4822-B2A8-4F933929A9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aheadedu</Company>
  <Pages>1</Pages>
  <Words>153</Words>
  <Characters>873</Characters>
  <Lines>7</Lines>
  <Paragraphs>2</Paragraphs>
  <TotalTime>250</TotalTime>
  <ScaleCrop>false</ScaleCrop>
  <LinksUpToDate>false</LinksUpToDate>
  <CharactersWithSpaces>1024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2020-06-01T13:01:00Z</dcterms:created>
  <dc:creator>Administrator</dc:creator>
  <cp:lastModifiedBy>Administrator</cp:lastModifiedBy>
  <cp:lastPrinted>2019-02-20T04:18:00Z</cp:lastPrinted>
  <dcterms:modified xsi:type="dcterms:W3CDTF">2021-04-15T06:23:32Z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