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rPr>
          <w:rFonts w:hint="eastAsia" w:ascii="微软雅黑" w:hAnsi="微软雅黑" w:eastAsia="微软雅黑" w:cs="微软雅黑"/>
          <w:b w:val="0"/>
          <w:bCs w:val="0"/>
          <w:kern w:val="44"/>
          <w:sz w:val="36"/>
          <w:szCs w:val="36"/>
        </w:rPr>
      </w:pPr>
      <w:r>
        <w:rPr>
          <w:rFonts w:hint="eastAsia" w:ascii="微软雅黑" w:hAnsi="微软雅黑" w:eastAsia="微软雅黑" w:cs="微软雅黑"/>
          <w:b w:val="0"/>
          <w:bCs w:val="0"/>
          <w:kern w:val="44"/>
          <w:sz w:val="36"/>
          <w:szCs w:val="36"/>
        </w:rPr>
        <w:t>豫章师范学院</w:t>
      </w:r>
      <w:r>
        <w:rPr>
          <w:rFonts w:hint="eastAsia" w:ascii="微软雅黑" w:hAnsi="微软雅黑" w:eastAsia="微软雅黑" w:cs="微软雅黑"/>
          <w:b w:val="0"/>
          <w:bCs w:val="0"/>
          <w:kern w:val="44"/>
          <w:sz w:val="36"/>
          <w:szCs w:val="36"/>
          <w:lang w:eastAsia="zh-CN"/>
        </w:rPr>
        <w:t>2024</w:t>
      </w:r>
      <w:r>
        <w:rPr>
          <w:rFonts w:hint="eastAsia" w:ascii="微软雅黑" w:hAnsi="微软雅黑" w:eastAsia="微软雅黑" w:cs="微软雅黑"/>
          <w:b w:val="0"/>
          <w:bCs w:val="0"/>
          <w:kern w:val="44"/>
          <w:sz w:val="36"/>
          <w:szCs w:val="36"/>
        </w:rPr>
        <w:t>年</w:t>
      </w:r>
    </w:p>
    <w:p>
      <w:pPr>
        <w:keepNext w:val="0"/>
        <w:keepLines w:val="0"/>
        <w:pageBreakBefore w:val="0"/>
        <w:kinsoku/>
        <w:wordWrap/>
        <w:overflowPunct/>
        <w:topLinePunct w:val="0"/>
        <w:autoSpaceDE/>
        <w:autoSpaceDN/>
        <w:bidi w:val="0"/>
        <w:adjustRightInd/>
        <w:snapToGrid/>
        <w:spacing w:beforeAutospacing="0" w:afterAutospacing="0"/>
        <w:jc w:val="center"/>
        <w:rPr>
          <w:rFonts w:hint="eastAsia" w:ascii="微软雅黑" w:hAnsi="微软雅黑" w:eastAsia="微软雅黑" w:cs="微软雅黑"/>
          <w:b w:val="0"/>
          <w:bCs w:val="0"/>
          <w:kern w:val="44"/>
          <w:sz w:val="36"/>
          <w:szCs w:val="36"/>
          <w:lang w:val="en-US" w:eastAsia="zh-CN"/>
        </w:rPr>
      </w:pPr>
      <w:r>
        <w:rPr>
          <w:rFonts w:hint="eastAsia" w:ascii="微软雅黑" w:hAnsi="微软雅黑" w:eastAsia="微软雅黑" w:cs="微软雅黑"/>
          <w:b w:val="0"/>
          <w:bCs w:val="0"/>
          <w:kern w:val="44"/>
          <w:sz w:val="36"/>
          <w:szCs w:val="36"/>
        </w:rPr>
        <w:t>专升本退役大学生士兵</w:t>
      </w:r>
      <w:r>
        <w:rPr>
          <w:rFonts w:hint="eastAsia" w:ascii="微软雅黑" w:hAnsi="微软雅黑" w:eastAsia="微软雅黑" w:cs="微软雅黑"/>
          <w:b w:val="0"/>
          <w:bCs w:val="0"/>
          <w:kern w:val="44"/>
          <w:sz w:val="36"/>
          <w:szCs w:val="36"/>
          <w:lang w:val="en-US" w:eastAsia="zh-CN"/>
        </w:rPr>
        <w:t>专项招生简章</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根据教育部《关于做好</w:t>
      </w:r>
      <w:r>
        <w:rPr>
          <w:rFonts w:hint="eastAsia" w:ascii="仿宋" w:hAnsi="仿宋" w:eastAsia="仿宋" w:cs="仿宋"/>
          <w:sz w:val="28"/>
          <w:szCs w:val="28"/>
          <w:lang w:eastAsia="zh-CN"/>
        </w:rPr>
        <w:t>2024</w:t>
      </w:r>
      <w:r>
        <w:rPr>
          <w:rFonts w:hint="eastAsia" w:ascii="仿宋" w:hAnsi="仿宋" w:eastAsia="仿宋" w:cs="仿宋"/>
          <w:sz w:val="28"/>
          <w:szCs w:val="28"/>
        </w:rPr>
        <w:t>年普通高等学校专升本考试招生工作的通知》</w:t>
      </w:r>
      <w:r>
        <w:rPr>
          <w:rFonts w:hint="eastAsia" w:ascii="仿宋" w:hAnsi="仿宋" w:eastAsia="仿宋" w:cs="仿宋"/>
          <w:i w:val="0"/>
          <w:iCs w:val="0"/>
          <w:caps w:val="0"/>
          <w:color w:val="4B4B4B"/>
          <w:spacing w:val="0"/>
          <w:sz w:val="28"/>
          <w:szCs w:val="28"/>
          <w:shd w:val="clear" w:fill="FFFFFF"/>
          <w:lang w:eastAsia="zh-CN"/>
        </w:rPr>
        <w:t>、</w:t>
      </w:r>
      <w:r>
        <w:rPr>
          <w:rFonts w:hint="eastAsia" w:ascii="仿宋" w:hAnsi="仿宋" w:eastAsia="仿宋" w:cs="仿宋"/>
          <w:color w:val="auto"/>
          <w:spacing w:val="-7"/>
          <w:sz w:val="28"/>
          <w:szCs w:val="28"/>
          <w:u w:val="none"/>
        </w:rPr>
        <w:t xml:space="preserve">《江西省 </w:t>
      </w:r>
      <w:r>
        <w:rPr>
          <w:rFonts w:hint="eastAsia" w:ascii="仿宋" w:hAnsi="仿宋" w:eastAsia="仿宋" w:cs="仿宋"/>
          <w:color w:val="auto"/>
          <w:sz w:val="28"/>
          <w:szCs w:val="28"/>
          <w:u w:val="none"/>
          <w:lang w:eastAsia="zh-CN"/>
        </w:rPr>
        <w:t>2024</w:t>
      </w:r>
      <w:r>
        <w:rPr>
          <w:rFonts w:hint="eastAsia" w:ascii="仿宋" w:hAnsi="仿宋" w:eastAsia="仿宋" w:cs="仿宋"/>
          <w:color w:val="auto"/>
          <w:spacing w:val="-84"/>
          <w:sz w:val="28"/>
          <w:szCs w:val="28"/>
          <w:u w:val="none"/>
        </w:rPr>
        <w:t xml:space="preserve"> </w:t>
      </w:r>
      <w:r>
        <w:rPr>
          <w:rFonts w:hint="eastAsia" w:ascii="仿宋" w:hAnsi="仿宋" w:eastAsia="仿宋" w:cs="仿宋"/>
          <w:color w:val="auto"/>
          <w:sz w:val="28"/>
          <w:szCs w:val="28"/>
          <w:u w:val="none"/>
        </w:rPr>
        <w:t>年普通高校专升本考试招生实施方案》，</w:t>
      </w:r>
      <w:r>
        <w:rPr>
          <w:rFonts w:hint="eastAsia" w:ascii="仿宋" w:hAnsi="仿宋" w:eastAsia="仿宋" w:cs="仿宋"/>
          <w:sz w:val="28"/>
          <w:szCs w:val="28"/>
        </w:rPr>
        <w:t>结合我校实际，特制定豫章师范学院</w:t>
      </w:r>
      <w:r>
        <w:rPr>
          <w:rFonts w:hint="eastAsia" w:ascii="仿宋" w:hAnsi="仿宋" w:eastAsia="仿宋" w:cs="仿宋"/>
          <w:sz w:val="28"/>
          <w:szCs w:val="28"/>
          <w:lang w:eastAsia="zh-CN"/>
        </w:rPr>
        <w:t>2024</w:t>
      </w:r>
      <w:r>
        <w:rPr>
          <w:rFonts w:hint="eastAsia" w:ascii="仿宋" w:hAnsi="仿宋" w:eastAsia="仿宋" w:cs="仿宋"/>
          <w:sz w:val="28"/>
          <w:szCs w:val="28"/>
        </w:rPr>
        <w:t>年专升本“退役大学生士兵</w:t>
      </w:r>
      <w:r>
        <w:rPr>
          <w:rFonts w:hint="eastAsia" w:ascii="仿宋" w:hAnsi="仿宋" w:eastAsia="仿宋" w:cs="仿宋"/>
          <w:sz w:val="28"/>
          <w:szCs w:val="28"/>
          <w:lang w:val="en-US" w:eastAsia="zh-CN"/>
        </w:rPr>
        <w:t>专项</w:t>
      </w:r>
      <w:r>
        <w:rPr>
          <w:rFonts w:hint="eastAsia" w:ascii="仿宋" w:hAnsi="仿宋" w:eastAsia="仿宋" w:cs="仿宋"/>
          <w:sz w:val="28"/>
          <w:szCs w:val="28"/>
        </w:rPr>
        <w:t>招生</w:t>
      </w:r>
      <w:r>
        <w:rPr>
          <w:rFonts w:hint="eastAsia" w:ascii="仿宋" w:hAnsi="仿宋" w:eastAsia="仿宋" w:cs="仿宋"/>
          <w:sz w:val="28"/>
          <w:szCs w:val="28"/>
          <w:lang w:val="en-US" w:eastAsia="zh-CN"/>
        </w:rPr>
        <w:t>简章</w:t>
      </w:r>
      <w:r>
        <w:rPr>
          <w:rFonts w:hint="eastAsia" w:ascii="仿宋" w:hAnsi="仿宋" w:eastAsia="仿宋" w:cs="仿宋"/>
          <w:sz w:val="28"/>
          <w:szCs w:val="28"/>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8"/>
          <w:szCs w:val="28"/>
        </w:rPr>
      </w:pPr>
      <w:r>
        <w:rPr>
          <w:rStyle w:val="12"/>
          <w:rFonts w:hint="eastAsia" w:ascii="仿宋" w:hAnsi="仿宋" w:eastAsia="仿宋" w:cs="仿宋"/>
          <w:sz w:val="28"/>
          <w:szCs w:val="28"/>
        </w:rPr>
        <w:t>一、招生计划</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我校退役大学生士兵免试招生计划为</w:t>
      </w:r>
      <w:r>
        <w:rPr>
          <w:rFonts w:hint="eastAsia" w:ascii="仿宋" w:hAnsi="仿宋" w:eastAsia="仿宋" w:cs="仿宋"/>
          <w:color w:val="auto"/>
          <w:sz w:val="28"/>
          <w:szCs w:val="28"/>
          <w:u w:val="none"/>
          <w:lang w:val="en-US" w:eastAsia="zh-CN"/>
        </w:rPr>
        <w:t>45</w:t>
      </w:r>
      <w:r>
        <w:rPr>
          <w:rFonts w:hint="eastAsia" w:ascii="仿宋" w:hAnsi="仿宋" w:eastAsia="仿宋" w:cs="仿宋"/>
          <w:color w:val="auto"/>
          <w:sz w:val="28"/>
          <w:szCs w:val="28"/>
          <w:u w:val="none"/>
        </w:rPr>
        <w:t>人，具体专业及人数</w:t>
      </w:r>
      <w:r>
        <w:rPr>
          <w:rFonts w:hint="eastAsia" w:ascii="仿宋" w:hAnsi="仿宋" w:eastAsia="仿宋" w:cs="仿宋"/>
          <w:color w:val="auto"/>
          <w:sz w:val="28"/>
          <w:szCs w:val="28"/>
          <w:u w:val="none"/>
          <w:lang w:val="en-US" w:eastAsia="zh-CN"/>
        </w:rPr>
        <w:t>下表：</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3" w:firstLineChars="200"/>
        <w:jc w:val="both"/>
        <w:textAlignment w:val="auto"/>
        <w:rPr>
          <w:rFonts w:hint="eastAsia" w:ascii="仿宋" w:hAnsi="仿宋" w:eastAsia="仿宋" w:cs="仿宋"/>
          <w:color w:val="auto"/>
          <w:sz w:val="28"/>
          <w:szCs w:val="28"/>
          <w:u w:val="none"/>
        </w:rPr>
      </w:pPr>
      <w:r>
        <w:rPr>
          <w:rFonts w:hint="eastAsia"/>
          <w:b/>
          <w:bCs/>
          <w:spacing w:val="-20"/>
          <w:sz w:val="32"/>
          <w:szCs w:val="32"/>
        </w:rPr>
        <w:t>豫章师范学院</w:t>
      </w:r>
      <w:r>
        <w:rPr>
          <w:rFonts w:hint="eastAsia"/>
          <w:b/>
          <w:bCs/>
          <w:spacing w:val="-20"/>
          <w:sz w:val="32"/>
          <w:szCs w:val="32"/>
          <w:lang w:eastAsia="zh-CN"/>
        </w:rPr>
        <w:t>2024</w:t>
      </w:r>
      <w:r>
        <w:rPr>
          <w:rFonts w:hint="eastAsia"/>
          <w:b/>
          <w:bCs/>
          <w:spacing w:val="-20"/>
          <w:sz w:val="32"/>
          <w:szCs w:val="32"/>
        </w:rPr>
        <w:t>年退役大学生士兵专升本招生专业及人数</w:t>
      </w:r>
    </w:p>
    <w:tbl>
      <w:tblPr>
        <w:tblStyle w:val="9"/>
        <w:tblpPr w:leftFromText="180" w:rightFromText="180" w:vertAnchor="text" w:horzAnchor="page" w:tblpXSpec="center" w:tblpY="318"/>
        <w:tblOverlap w:val="never"/>
        <w:tblW w:w="8838" w:type="dxa"/>
        <w:jc w:val="center"/>
        <w:tblLayout w:type="fixed"/>
        <w:tblCellMar>
          <w:top w:w="0" w:type="dxa"/>
          <w:left w:w="108" w:type="dxa"/>
          <w:bottom w:w="0" w:type="dxa"/>
          <w:right w:w="108" w:type="dxa"/>
        </w:tblCellMar>
      </w:tblPr>
      <w:tblGrid>
        <w:gridCol w:w="2197"/>
        <w:gridCol w:w="2399"/>
        <w:gridCol w:w="2245"/>
        <w:gridCol w:w="1997"/>
      </w:tblGrid>
      <w:tr>
        <w:tblPrEx>
          <w:tblCellMar>
            <w:top w:w="0" w:type="dxa"/>
            <w:left w:w="108" w:type="dxa"/>
            <w:bottom w:w="0" w:type="dxa"/>
            <w:right w:w="108" w:type="dxa"/>
          </w:tblCellMar>
        </w:tblPrEx>
        <w:trPr>
          <w:trHeight w:val="491" w:hRule="atLeast"/>
          <w:jc w:val="center"/>
        </w:trPr>
        <w:tc>
          <w:tcPr>
            <w:tcW w:w="45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对应本科专业</w:t>
            </w:r>
          </w:p>
        </w:tc>
        <w:tc>
          <w:tcPr>
            <w:tcW w:w="2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专科</w:t>
            </w:r>
            <w:r>
              <w:rPr>
                <w:rFonts w:hint="eastAsia" w:ascii="宋体" w:hAnsi="宋体" w:eastAsia="宋体" w:cs="宋体"/>
                <w:b/>
                <w:bCs/>
                <w:color w:val="auto"/>
                <w:kern w:val="0"/>
                <w:sz w:val="24"/>
                <w:szCs w:val="24"/>
              </w:rPr>
              <w:t>毕业专业</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所属专业类</w:t>
            </w:r>
          </w:p>
        </w:tc>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计划招生人数</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（人）</w:t>
            </w:r>
          </w:p>
        </w:tc>
      </w:tr>
      <w:tr>
        <w:tblPrEx>
          <w:tblCellMar>
            <w:top w:w="0" w:type="dxa"/>
            <w:left w:w="108" w:type="dxa"/>
            <w:bottom w:w="0" w:type="dxa"/>
            <w:right w:w="108" w:type="dxa"/>
          </w:tblCellMar>
        </w:tblPrEx>
        <w:trPr>
          <w:trHeight w:val="462"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专业代码</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专业名称</w:t>
            </w:r>
          </w:p>
        </w:tc>
        <w:tc>
          <w:tcPr>
            <w:tcW w:w="2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jc w:val="center"/>
              <w:rPr>
                <w:rFonts w:ascii="宋体" w:hAnsi="宋体" w:eastAsia="宋体" w:cs="宋体"/>
                <w:b/>
                <w:bCs/>
                <w:color w:val="auto"/>
                <w:sz w:val="24"/>
                <w:szCs w:val="24"/>
              </w:rPr>
            </w:pPr>
          </w:p>
        </w:tc>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afterAutospacing="0"/>
              <w:jc w:val="center"/>
              <w:rPr>
                <w:rFonts w:ascii="宋体" w:hAnsi="宋体" w:eastAsia="宋体" w:cs="宋体"/>
                <w:b/>
                <w:bCs/>
                <w:color w:val="auto"/>
                <w:sz w:val="24"/>
                <w:szCs w:val="24"/>
              </w:rPr>
            </w:pPr>
          </w:p>
        </w:tc>
      </w:tr>
      <w:tr>
        <w:tblPrEx>
          <w:tblCellMar>
            <w:top w:w="0" w:type="dxa"/>
            <w:left w:w="108" w:type="dxa"/>
            <w:bottom w:w="0" w:type="dxa"/>
            <w:right w:w="108" w:type="dxa"/>
          </w:tblCellMar>
        </w:tblPrEx>
        <w:trPr>
          <w:trHeight w:val="614"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040106</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学前教育</w:t>
            </w:r>
          </w:p>
        </w:tc>
        <w:tc>
          <w:tcPr>
            <w:tcW w:w="22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6701教育类</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hint="eastAsia" w:ascii="宋体" w:hAnsi="宋体" w:eastAsia="宋体" w:cs="宋体"/>
                <w:color w:val="auto"/>
                <w:kern w:val="0"/>
                <w:sz w:val="24"/>
                <w:szCs w:val="24"/>
              </w:rPr>
            </w:pPr>
          </w:p>
          <w:p>
            <w:pPr>
              <w:keepNext w:val="0"/>
              <w:keepLines w:val="0"/>
              <w:pageBreakBefore w:val="0"/>
              <w:kinsoku/>
              <w:wordWrap/>
              <w:overflowPunct/>
              <w:topLinePunct w:val="0"/>
              <w:autoSpaceDE/>
              <w:autoSpaceDN/>
              <w:bidi w:val="0"/>
              <w:adjustRightInd/>
              <w:snapToGrid/>
              <w:spacing w:beforeAutospacing="0" w:afterAutospacing="0"/>
              <w:jc w:val="center"/>
              <w:rPr>
                <w:rFonts w:ascii="宋体" w:hAnsi="宋体" w:eastAsia="宋体" w:cs="宋体"/>
                <w:color w:val="auto"/>
                <w:sz w:val="24"/>
                <w:szCs w:val="24"/>
              </w:rPr>
            </w:pPr>
            <w:r>
              <w:rPr>
                <w:rFonts w:hint="eastAsia" w:ascii="宋体" w:hAnsi="宋体" w:eastAsia="宋体" w:cs="宋体"/>
                <w:color w:val="auto"/>
                <w:kern w:val="0"/>
                <w:sz w:val="24"/>
                <w:szCs w:val="24"/>
              </w:rPr>
              <w:t>6702语言类</w:t>
            </w:r>
          </w:p>
        </w:tc>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hint="default" w:ascii="宋体" w:hAnsi="宋体" w:eastAsia="宋体" w:cs="宋体"/>
                <w:color w:val="C00000"/>
                <w:sz w:val="24"/>
                <w:szCs w:val="24"/>
                <w:lang w:val="en-US" w:eastAsia="zh-CN"/>
              </w:rPr>
            </w:pPr>
            <w:r>
              <w:rPr>
                <w:rFonts w:hint="eastAsia" w:ascii="宋体" w:hAnsi="宋体" w:eastAsia="宋体" w:cs="宋体"/>
                <w:color w:val="C00000"/>
                <w:sz w:val="24"/>
                <w:szCs w:val="24"/>
                <w:lang w:val="en-US" w:eastAsia="zh-CN"/>
              </w:rPr>
              <w:t>25</w:t>
            </w:r>
          </w:p>
        </w:tc>
      </w:tr>
      <w:tr>
        <w:tblPrEx>
          <w:tblCellMar>
            <w:top w:w="0" w:type="dxa"/>
            <w:left w:w="108" w:type="dxa"/>
            <w:bottom w:w="0" w:type="dxa"/>
            <w:right w:w="108" w:type="dxa"/>
          </w:tblCellMar>
        </w:tblPrEx>
        <w:trPr>
          <w:trHeight w:val="687"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040108</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特殊教育</w:t>
            </w:r>
          </w:p>
        </w:tc>
        <w:tc>
          <w:tcPr>
            <w:tcW w:w="22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afterAutospacing="0"/>
              <w:jc w:val="center"/>
              <w:rPr>
                <w:rFonts w:ascii="宋体" w:hAnsi="宋体" w:eastAsia="宋体" w:cs="宋体"/>
                <w:color w:val="auto"/>
                <w:sz w:val="24"/>
                <w:szCs w:val="24"/>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hint="default" w:ascii="宋体" w:hAnsi="宋体" w:eastAsia="宋体" w:cs="宋体"/>
                <w:color w:val="C00000"/>
                <w:sz w:val="24"/>
                <w:szCs w:val="24"/>
                <w:lang w:val="en-US" w:eastAsia="zh-CN"/>
              </w:rPr>
            </w:pPr>
            <w:r>
              <w:rPr>
                <w:rFonts w:hint="eastAsia" w:ascii="宋体" w:hAnsi="宋体" w:eastAsia="宋体" w:cs="宋体"/>
                <w:color w:val="C00000"/>
                <w:sz w:val="24"/>
                <w:szCs w:val="24"/>
                <w:lang w:val="en-US" w:eastAsia="zh-CN"/>
              </w:rPr>
              <w:t xml:space="preserve">20 </w:t>
            </w:r>
          </w:p>
        </w:tc>
      </w:tr>
      <w:tr>
        <w:tblPrEx>
          <w:tblCellMar>
            <w:top w:w="0" w:type="dxa"/>
            <w:left w:w="108" w:type="dxa"/>
            <w:bottom w:w="0" w:type="dxa"/>
            <w:right w:w="108" w:type="dxa"/>
          </w:tblCellMar>
        </w:tblPrEx>
        <w:trPr>
          <w:trHeight w:val="620"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合计：</w:t>
            </w:r>
          </w:p>
        </w:tc>
        <w:tc>
          <w:tcPr>
            <w:tcW w:w="6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45</w:t>
            </w:r>
            <w:r>
              <w:rPr>
                <w:rFonts w:hint="eastAsia" w:ascii="宋体" w:hAnsi="宋体" w:eastAsia="宋体" w:cs="宋体"/>
                <w:color w:val="auto"/>
                <w:kern w:val="0"/>
                <w:sz w:val="24"/>
                <w:szCs w:val="24"/>
              </w:rPr>
              <w:t>人</w:t>
            </w:r>
          </w:p>
        </w:tc>
      </w:tr>
    </w:tbl>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28"/>
          <w:szCs w:val="28"/>
        </w:rPr>
      </w:pPr>
      <w:r>
        <w:rPr>
          <w:rStyle w:val="12"/>
          <w:rFonts w:hint="eastAsia" w:ascii="仿宋" w:hAnsi="仿宋" w:eastAsia="仿宋" w:cs="仿宋"/>
          <w:sz w:val="28"/>
          <w:szCs w:val="28"/>
        </w:rPr>
        <w:t>二、报名条件及要求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考生报考需同时满足以下条件：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1.遵守《中华人民共和国宪法》及其他法律法规。</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2.身体状况符合相关要求。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3.已在规定时间内参加江西省202</w:t>
      </w:r>
      <w:r>
        <w:rPr>
          <w:rFonts w:hint="eastAsia" w:ascii="仿宋" w:hAnsi="仿宋" w:eastAsia="仿宋" w:cs="仿宋"/>
          <w:color w:val="auto"/>
          <w:sz w:val="28"/>
          <w:szCs w:val="28"/>
          <w:u w:val="none"/>
          <w:lang w:val="en-US" w:eastAsia="zh-CN"/>
        </w:rPr>
        <w:t>4</w:t>
      </w:r>
      <w:r>
        <w:rPr>
          <w:rFonts w:hint="eastAsia" w:ascii="仿宋" w:hAnsi="仿宋" w:eastAsia="仿宋" w:cs="仿宋"/>
          <w:color w:val="auto"/>
          <w:sz w:val="28"/>
          <w:szCs w:val="28"/>
          <w:u w:val="none"/>
        </w:rPr>
        <w:t>年专升本报名,并已获“退役大学生士兵”报名资格。</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4.已退役大学生士兵（含 2024年3月退役大学生士兵）在2024 年 7月31日前可取得或已取得毕业证，且符合下列条件之一：</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（1）江西省普通高职（专科）学生在校期间或毕业后应征入伍。</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 xml:space="preserve">（2）外省普通高职（专科）学生在校期间或毕业后，在江西应 </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征入伍。</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5</w:t>
      </w:r>
      <w:r>
        <w:rPr>
          <w:rFonts w:hint="eastAsia" w:ascii="仿宋" w:hAnsi="仿宋" w:eastAsia="仿宋" w:cs="仿宋"/>
          <w:color w:val="auto"/>
          <w:sz w:val="28"/>
          <w:szCs w:val="28"/>
          <w:u w:val="none"/>
        </w:rPr>
        <w:t xml:space="preserve">.高职（专科）学习期间无记过及以上纪律处分，或受到纪律处分但报名前已解除处分的。在入伍期间和退役后工作学习期间，无记过及以上纪律处分，或受到纪律处分但报名前已解除处分的。 </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6</w:t>
      </w:r>
      <w:r>
        <w:rPr>
          <w:rFonts w:hint="eastAsia" w:ascii="仿宋" w:hAnsi="仿宋" w:eastAsia="仿宋" w:cs="仿宋"/>
          <w:color w:val="auto"/>
          <w:sz w:val="28"/>
          <w:szCs w:val="28"/>
          <w:u w:val="none"/>
        </w:rPr>
        <w:t>.退役</w:t>
      </w:r>
      <w:r>
        <w:rPr>
          <w:rFonts w:hint="eastAsia" w:ascii="仿宋" w:hAnsi="仿宋" w:eastAsia="仿宋" w:cs="仿宋"/>
          <w:color w:val="auto"/>
          <w:sz w:val="28"/>
          <w:szCs w:val="28"/>
          <w:u w:val="none"/>
          <w:lang w:val="en-US" w:eastAsia="zh-CN"/>
        </w:rPr>
        <w:t>大学生</w:t>
      </w:r>
      <w:r>
        <w:rPr>
          <w:rFonts w:hint="eastAsia" w:ascii="仿宋" w:hAnsi="仿宋" w:eastAsia="仿宋" w:cs="仿宋"/>
          <w:color w:val="auto"/>
          <w:sz w:val="28"/>
          <w:szCs w:val="28"/>
          <w:u w:val="none"/>
        </w:rPr>
        <w:t>士兵根据高职（专科）所学专业，对照《江西省202</w:t>
      </w:r>
      <w:r>
        <w:rPr>
          <w:rFonts w:hint="eastAsia" w:ascii="仿宋" w:hAnsi="仿宋" w:eastAsia="仿宋" w:cs="仿宋"/>
          <w:color w:val="auto"/>
          <w:sz w:val="28"/>
          <w:szCs w:val="28"/>
          <w:u w:val="none"/>
          <w:lang w:val="en-US" w:eastAsia="zh-CN"/>
        </w:rPr>
        <w:t>4</w:t>
      </w:r>
      <w:r>
        <w:rPr>
          <w:rFonts w:hint="eastAsia" w:ascii="仿宋" w:hAnsi="仿宋" w:eastAsia="仿宋" w:cs="仿宋"/>
          <w:color w:val="auto"/>
          <w:sz w:val="28"/>
          <w:szCs w:val="28"/>
          <w:u w:val="none"/>
        </w:rPr>
        <w:t>年普通高校专升本考试对应专业（类）指导目录》，选报本科对应专业。</w:t>
      </w:r>
    </w:p>
    <w:p>
      <w:pPr>
        <w:pStyle w:val="8"/>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360" w:lineRule="auto"/>
        <w:ind w:firstLine="560" w:firstLine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二、报名时间及方式</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凡符合报名条件的考生，须于202</w:t>
      </w:r>
      <w:r>
        <w:rPr>
          <w:rFonts w:hint="eastAsia" w:ascii="仿宋" w:hAnsi="仿宋" w:eastAsia="仿宋" w:cs="仿宋"/>
          <w:sz w:val="28"/>
          <w:szCs w:val="28"/>
          <w:lang w:eastAsia="zh-CN"/>
        </w:rPr>
        <w:t>4</w:t>
      </w:r>
      <w:r>
        <w:rPr>
          <w:rFonts w:hint="eastAsia" w:ascii="仿宋" w:hAnsi="仿宋" w:eastAsia="仿宋" w:cs="仿宋"/>
          <w:sz w:val="28"/>
          <w:szCs w:val="28"/>
        </w:rPr>
        <w:t>年3月</w:t>
      </w:r>
      <w:r>
        <w:rPr>
          <w:rFonts w:hint="eastAsia" w:ascii="仿宋" w:hAnsi="仿宋" w:eastAsia="仿宋" w:cs="仿宋"/>
          <w:sz w:val="28"/>
          <w:szCs w:val="28"/>
          <w:lang w:val="en-US" w:eastAsia="zh-CN"/>
        </w:rPr>
        <w:t>3</w:t>
      </w:r>
      <w:r>
        <w:rPr>
          <w:rFonts w:hint="eastAsia" w:ascii="仿宋" w:hAnsi="仿宋" w:eastAsia="仿宋" w:cs="仿宋"/>
          <w:sz w:val="28"/>
          <w:szCs w:val="28"/>
        </w:rPr>
        <w:t>日</w:t>
      </w:r>
      <w:r>
        <w:rPr>
          <w:rFonts w:hint="eastAsia" w:ascii="仿宋" w:hAnsi="仿宋" w:eastAsia="仿宋" w:cs="仿宋"/>
          <w:sz w:val="28"/>
          <w:szCs w:val="28"/>
          <w:lang w:val="en-US" w:eastAsia="zh-CN"/>
        </w:rPr>
        <w:t>24</w:t>
      </w:r>
      <w:r>
        <w:rPr>
          <w:rFonts w:hint="eastAsia" w:ascii="仿宋" w:hAnsi="仿宋" w:eastAsia="仿宋" w:cs="仿宋"/>
          <w:sz w:val="28"/>
          <w:szCs w:val="28"/>
        </w:rPr>
        <w:t>：00前扫描下方二维码完成个人</w:t>
      </w:r>
      <w:r>
        <w:rPr>
          <w:rFonts w:hint="eastAsia" w:ascii="仿宋" w:hAnsi="仿宋" w:eastAsia="仿宋" w:cs="仿宋"/>
          <w:sz w:val="28"/>
          <w:szCs w:val="28"/>
          <w:lang w:val="en-US" w:eastAsia="zh-CN"/>
        </w:rPr>
        <w:t>报名</w:t>
      </w:r>
      <w:r>
        <w:rPr>
          <w:rFonts w:hint="eastAsia" w:ascii="仿宋" w:hAnsi="仿宋" w:eastAsia="仿宋" w:cs="仿宋"/>
          <w:sz w:val="28"/>
          <w:szCs w:val="28"/>
        </w:rPr>
        <w:t>信息的填报</w:t>
      </w:r>
      <w:r>
        <w:rPr>
          <w:rFonts w:hint="eastAsia" w:ascii="仿宋" w:hAnsi="仿宋" w:eastAsia="仿宋" w:cs="仿宋"/>
          <w:sz w:val="28"/>
          <w:szCs w:val="28"/>
          <w:lang w:eastAsia="zh-CN"/>
        </w:rPr>
        <w:t>，</w:t>
      </w:r>
      <w:r>
        <w:rPr>
          <w:rFonts w:hint="eastAsia" w:ascii="仿宋" w:hAnsi="仿宋" w:eastAsia="仿宋" w:cs="仿宋"/>
          <w:b/>
          <w:bCs/>
          <w:color w:val="auto"/>
          <w:sz w:val="28"/>
          <w:szCs w:val="28"/>
          <w:lang w:eastAsia="zh-CN"/>
        </w:rPr>
        <w:t>我</w:t>
      </w:r>
      <w:r>
        <w:rPr>
          <w:rFonts w:hint="eastAsia" w:ascii="仿宋" w:hAnsi="仿宋" w:eastAsia="仿宋" w:cs="仿宋"/>
          <w:b/>
          <w:bCs/>
          <w:color w:val="auto"/>
          <w:sz w:val="28"/>
          <w:szCs w:val="28"/>
          <w:lang w:val="en-US" w:eastAsia="zh-CN"/>
        </w:rPr>
        <w:t>校将于3月5日公示资格初审通过考生名单。</w:t>
      </w:r>
    </w:p>
    <w:p>
      <w:pPr>
        <w:pStyle w:val="8"/>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default" w:ascii="仿宋" w:hAnsi="仿宋" w:eastAsia="仿宋" w:cs="仿宋"/>
          <w:sz w:val="28"/>
          <w:szCs w:val="28"/>
          <w:lang w:val="en-US" w:eastAsia="zh-CN"/>
        </w:rPr>
      </w:pPr>
      <w:bookmarkStart w:id="0" w:name="_GoBack"/>
      <w:r>
        <w:rPr>
          <w:rFonts w:hint="default" w:ascii="仿宋" w:hAnsi="仿宋" w:eastAsia="仿宋" w:cs="仿宋"/>
          <w:sz w:val="28"/>
          <w:szCs w:val="28"/>
          <w:lang w:val="en-US" w:eastAsia="zh-CN"/>
        </w:rPr>
        <w:drawing>
          <wp:inline distT="0" distB="0" distL="114300" distR="114300">
            <wp:extent cx="1470025" cy="2065020"/>
            <wp:effectExtent l="0" t="0" r="0" b="0"/>
            <wp:docPr id="1" name="图片 1" descr="171c0849429e0ab2268f617bb6ef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c0849429e0ab2268f617bb6ef037"/>
                    <pic:cNvPicPr>
                      <a:picLocks noChangeAspect="1"/>
                    </pic:cNvPicPr>
                  </pic:nvPicPr>
                  <pic:blipFill>
                    <a:blip r:embed="rId5"/>
                    <a:srcRect b="15773"/>
                    <a:stretch>
                      <a:fillRect/>
                    </a:stretch>
                  </pic:blipFill>
                  <pic:spPr>
                    <a:xfrm>
                      <a:off x="0" y="0"/>
                      <a:ext cx="1470025" cy="2065020"/>
                    </a:xfrm>
                    <a:prstGeom prst="rect">
                      <a:avLst/>
                    </a:prstGeom>
                  </pic:spPr>
                </pic:pic>
              </a:graphicData>
            </a:graphic>
          </wp:inline>
        </w:drawing>
      </w:r>
      <w:bookmarkEnd w:id="0"/>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2" w:firstLineChars="200"/>
        <w:textAlignment w:val="auto"/>
        <w:rPr>
          <w:rStyle w:val="12"/>
          <w:rFonts w:hint="eastAsia" w:ascii="仿宋" w:hAnsi="仿宋" w:eastAsia="仿宋" w:cs="仿宋"/>
          <w:sz w:val="28"/>
          <w:szCs w:val="28"/>
        </w:rPr>
      </w:pPr>
      <w:r>
        <w:rPr>
          <w:rStyle w:val="12"/>
          <w:rFonts w:hint="eastAsia" w:ascii="仿宋" w:hAnsi="仿宋" w:eastAsia="仿宋" w:cs="仿宋"/>
          <w:sz w:val="28"/>
          <w:szCs w:val="28"/>
        </w:rPr>
        <w:t>三、综合评价考查安排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2" w:firstLineChars="200"/>
        <w:textAlignment w:val="auto"/>
        <w:rPr>
          <w:rStyle w:val="12"/>
          <w:rFonts w:hint="eastAsia" w:ascii="仿宋" w:hAnsi="仿宋" w:eastAsia="仿宋" w:cs="仿宋"/>
          <w:b/>
          <w:bCs w:val="0"/>
          <w:sz w:val="28"/>
          <w:szCs w:val="28"/>
        </w:rPr>
      </w:pPr>
      <w:r>
        <w:rPr>
          <w:rStyle w:val="12"/>
          <w:rFonts w:hint="eastAsia" w:ascii="仿宋" w:hAnsi="仿宋" w:eastAsia="仿宋" w:cs="仿宋"/>
          <w:b/>
          <w:bCs w:val="0"/>
          <w:sz w:val="28"/>
          <w:szCs w:val="28"/>
        </w:rPr>
        <w:t>（一）综合评价办法</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Style w:val="12"/>
          <w:rFonts w:hint="eastAsia" w:ascii="仿宋" w:hAnsi="仿宋" w:eastAsia="仿宋" w:cs="仿宋"/>
          <w:b w:val="0"/>
          <w:bCs/>
          <w:sz w:val="28"/>
          <w:szCs w:val="28"/>
        </w:rPr>
      </w:pPr>
      <w:r>
        <w:rPr>
          <w:rStyle w:val="12"/>
          <w:rFonts w:hint="eastAsia" w:ascii="仿宋" w:hAnsi="仿宋" w:eastAsia="仿宋" w:cs="仿宋"/>
          <w:b w:val="0"/>
          <w:bCs/>
          <w:sz w:val="28"/>
          <w:szCs w:val="28"/>
        </w:rPr>
        <w:t>综合评价主要以综合素质考查（80%）为主，同时结合在校期间和服役期间表现（20%），完成综合评价成绩排名。</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firstLine="420" w:firstLineChars="0"/>
        <w:textAlignment w:val="auto"/>
        <w:rPr>
          <w:rStyle w:val="12"/>
          <w:rFonts w:hint="eastAsia" w:ascii="仿宋" w:hAnsi="仿宋" w:eastAsia="仿宋" w:cs="仿宋"/>
          <w:b/>
          <w:bCs w:val="0"/>
          <w:sz w:val="28"/>
          <w:szCs w:val="28"/>
        </w:rPr>
      </w:pPr>
      <w:r>
        <w:rPr>
          <w:rStyle w:val="12"/>
          <w:rFonts w:hint="eastAsia" w:ascii="仿宋" w:hAnsi="仿宋" w:eastAsia="仿宋" w:cs="仿宋"/>
          <w:b/>
          <w:bCs w:val="0"/>
          <w:sz w:val="28"/>
          <w:szCs w:val="28"/>
          <w:lang w:val="en-US" w:eastAsia="zh-CN"/>
        </w:rPr>
        <w:t>1.</w:t>
      </w:r>
      <w:r>
        <w:rPr>
          <w:rStyle w:val="12"/>
          <w:rFonts w:hint="eastAsia" w:ascii="仿宋" w:hAnsi="仿宋" w:eastAsia="仿宋" w:cs="仿宋"/>
          <w:b/>
          <w:bCs w:val="0"/>
          <w:sz w:val="28"/>
          <w:szCs w:val="28"/>
        </w:rPr>
        <w:t>综合素质考查</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firstLine="420" w:firstLineChars="0"/>
        <w:textAlignment w:val="auto"/>
        <w:rPr>
          <w:rStyle w:val="12"/>
          <w:rFonts w:hint="eastAsia" w:ascii="仿宋" w:hAnsi="仿宋" w:eastAsia="仿宋" w:cs="仿宋"/>
          <w:b w:val="0"/>
          <w:bCs/>
          <w:sz w:val="28"/>
          <w:szCs w:val="28"/>
        </w:rPr>
      </w:pPr>
      <w:r>
        <w:rPr>
          <w:rStyle w:val="12"/>
          <w:rFonts w:hint="eastAsia" w:ascii="仿宋" w:hAnsi="仿宋" w:eastAsia="仿宋" w:cs="仿宋"/>
          <w:b w:val="0"/>
          <w:bCs/>
          <w:sz w:val="28"/>
          <w:szCs w:val="28"/>
        </w:rPr>
        <w:t>（1）考查以面试方式进行，时间为10分钟。</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840" w:firstLineChars="300"/>
        <w:textAlignment w:val="auto"/>
        <w:rPr>
          <w:rStyle w:val="12"/>
          <w:rFonts w:hint="eastAsia" w:ascii="仿宋" w:hAnsi="仿宋" w:eastAsia="仿宋" w:cs="仿宋"/>
          <w:b w:val="0"/>
          <w:bCs/>
          <w:sz w:val="28"/>
          <w:szCs w:val="28"/>
        </w:rPr>
      </w:pPr>
      <w:r>
        <w:rPr>
          <w:rStyle w:val="12"/>
          <w:rFonts w:hint="eastAsia" w:ascii="仿宋" w:hAnsi="仿宋" w:eastAsia="仿宋" w:cs="仿宋"/>
          <w:b w:val="0"/>
          <w:bCs/>
          <w:sz w:val="28"/>
          <w:szCs w:val="28"/>
        </w:rPr>
        <w:t>（2）主要考查政治思想品德、专业学习能力、创新创业意识、身心健康素质及其他。</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840" w:firstLineChars="300"/>
        <w:textAlignment w:val="auto"/>
        <w:rPr>
          <w:rStyle w:val="12"/>
          <w:rFonts w:hint="eastAsia" w:ascii="仿宋" w:hAnsi="仿宋" w:eastAsia="仿宋" w:cs="仿宋"/>
          <w:b/>
          <w:bCs w:val="0"/>
          <w:sz w:val="28"/>
          <w:szCs w:val="28"/>
        </w:rPr>
      </w:pPr>
      <w:r>
        <w:rPr>
          <w:rStyle w:val="12"/>
          <w:rFonts w:hint="eastAsia" w:ascii="仿宋" w:hAnsi="仿宋" w:eastAsia="仿宋" w:cs="仿宋"/>
          <w:b w:val="0"/>
          <w:bCs/>
          <w:sz w:val="28"/>
          <w:szCs w:val="28"/>
        </w:rPr>
        <w:t>2.</w:t>
      </w:r>
      <w:r>
        <w:rPr>
          <w:rStyle w:val="12"/>
          <w:rFonts w:hint="eastAsia" w:ascii="仿宋" w:hAnsi="仿宋" w:eastAsia="仿宋" w:cs="仿宋"/>
          <w:b/>
          <w:bCs w:val="0"/>
          <w:sz w:val="28"/>
          <w:szCs w:val="28"/>
        </w:rPr>
        <w:t>在校期间和服役期间表现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840" w:firstLineChars="300"/>
        <w:textAlignment w:val="auto"/>
        <w:rPr>
          <w:rStyle w:val="12"/>
          <w:rFonts w:hint="eastAsia" w:ascii="仿宋" w:hAnsi="仿宋" w:eastAsia="仿宋" w:cs="仿宋"/>
          <w:b w:val="0"/>
          <w:bCs/>
          <w:sz w:val="28"/>
          <w:szCs w:val="28"/>
          <w:lang w:val="en-US" w:eastAsia="zh-CN"/>
        </w:rPr>
      </w:pPr>
      <w:r>
        <w:rPr>
          <w:rStyle w:val="12"/>
          <w:rFonts w:hint="eastAsia" w:ascii="仿宋" w:hAnsi="仿宋" w:eastAsia="仿宋" w:cs="仿宋"/>
          <w:b w:val="0"/>
          <w:bCs/>
          <w:sz w:val="28"/>
          <w:szCs w:val="28"/>
          <w:lang w:val="en-US" w:eastAsia="zh-CN"/>
        </w:rPr>
        <w:t>（1）在高职(专科)学校期间获得校级以上（不含校级）荣誉证书;</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840" w:firstLineChars="300"/>
        <w:textAlignment w:val="auto"/>
        <w:rPr>
          <w:rStyle w:val="12"/>
          <w:rFonts w:hint="eastAsia" w:ascii="仿宋" w:hAnsi="仿宋" w:eastAsia="仿宋" w:cs="仿宋"/>
          <w:b w:val="0"/>
          <w:bCs/>
          <w:sz w:val="28"/>
          <w:szCs w:val="28"/>
          <w:lang w:val="en-US" w:eastAsia="zh-CN"/>
        </w:rPr>
      </w:pPr>
      <w:r>
        <w:rPr>
          <w:rStyle w:val="12"/>
          <w:rFonts w:hint="eastAsia" w:ascii="仿宋" w:hAnsi="仿宋" w:eastAsia="仿宋" w:cs="仿宋"/>
          <w:b w:val="0"/>
          <w:bCs/>
          <w:sz w:val="28"/>
          <w:szCs w:val="28"/>
          <w:lang w:val="en-US" w:eastAsia="zh-CN"/>
        </w:rPr>
        <w:t>（2）服役期间获部队嘉奖及以上荣誉证书。</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Style w:val="12"/>
          <w:rFonts w:hint="eastAsia" w:ascii="仿宋" w:hAnsi="仿宋" w:eastAsia="仿宋" w:cs="仿宋"/>
          <w:b w:val="0"/>
          <w:bCs/>
          <w:sz w:val="28"/>
          <w:szCs w:val="28"/>
          <w:lang w:val="en-US" w:eastAsia="zh-CN"/>
        </w:rPr>
      </w:pPr>
      <w:r>
        <w:rPr>
          <w:rStyle w:val="12"/>
          <w:rFonts w:hint="eastAsia" w:ascii="仿宋" w:hAnsi="仿宋" w:eastAsia="仿宋" w:cs="仿宋"/>
          <w:b w:val="0"/>
          <w:bCs/>
          <w:sz w:val="28"/>
          <w:szCs w:val="28"/>
          <w:lang w:val="en-US" w:eastAsia="zh-CN"/>
        </w:rPr>
        <w:t>提供</w:t>
      </w:r>
      <w:r>
        <w:rPr>
          <w:rStyle w:val="12"/>
          <w:rFonts w:hint="eastAsia" w:ascii="仿宋" w:hAnsi="仿宋" w:eastAsia="仿宋" w:cs="仿宋"/>
          <w:b w:val="0"/>
          <w:bCs/>
          <w:sz w:val="28"/>
          <w:szCs w:val="28"/>
        </w:rPr>
        <w:t>相关</w:t>
      </w:r>
      <w:r>
        <w:rPr>
          <w:rStyle w:val="12"/>
          <w:rFonts w:hint="eastAsia" w:ascii="仿宋" w:hAnsi="仿宋" w:eastAsia="仿宋" w:cs="仿宋"/>
          <w:b w:val="0"/>
          <w:bCs/>
          <w:sz w:val="28"/>
          <w:szCs w:val="28"/>
          <w:lang w:val="en-US" w:eastAsia="zh-CN"/>
        </w:rPr>
        <w:t>获奖或荣誉证书</w:t>
      </w:r>
      <w:r>
        <w:rPr>
          <w:rStyle w:val="12"/>
          <w:rFonts w:hint="eastAsia" w:ascii="仿宋" w:hAnsi="仿宋" w:eastAsia="仿宋" w:cs="仿宋"/>
          <w:b/>
          <w:bCs w:val="0"/>
          <w:sz w:val="28"/>
          <w:szCs w:val="28"/>
          <w:lang w:val="en-US" w:eastAsia="zh-CN"/>
        </w:rPr>
        <w:t>原件及复印件</w:t>
      </w:r>
      <w:r>
        <w:rPr>
          <w:rStyle w:val="12"/>
          <w:rFonts w:hint="eastAsia" w:ascii="仿宋" w:hAnsi="仿宋" w:eastAsia="仿宋" w:cs="仿宋"/>
          <w:b w:val="0"/>
          <w:bCs/>
          <w:sz w:val="28"/>
          <w:szCs w:val="28"/>
          <w:lang w:val="en-US"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sz w:val="28"/>
          <w:szCs w:val="28"/>
          <w:lang w:val="en-US" w:eastAsia="zh-CN"/>
        </w:rPr>
        <w:t>相关</w:t>
      </w:r>
      <w:r>
        <w:rPr>
          <w:rFonts w:hint="eastAsia" w:ascii="仿宋" w:hAnsi="仿宋" w:eastAsia="仿宋" w:cs="仿宋"/>
          <w:b/>
          <w:sz w:val="28"/>
          <w:szCs w:val="28"/>
        </w:rPr>
        <w:t xml:space="preserve">材料及要求： </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（1）《豫章师范学院</w:t>
      </w:r>
      <w:r>
        <w:rPr>
          <w:rFonts w:hint="eastAsia" w:ascii="仿宋" w:hAnsi="仿宋" w:eastAsia="仿宋" w:cs="仿宋"/>
          <w:sz w:val="28"/>
          <w:szCs w:val="28"/>
          <w:lang w:eastAsia="zh-CN"/>
        </w:rPr>
        <w:t>2024</w:t>
      </w:r>
      <w:r>
        <w:rPr>
          <w:rFonts w:hint="eastAsia" w:ascii="仿宋" w:hAnsi="仿宋" w:eastAsia="仿宋" w:cs="仿宋"/>
          <w:sz w:val="28"/>
          <w:szCs w:val="28"/>
        </w:rPr>
        <w:t>年退役大学生士兵专升本报名申请表》（</w:t>
      </w:r>
      <w:r>
        <w:rPr>
          <w:rFonts w:hint="eastAsia" w:ascii="仿宋" w:hAnsi="仿宋" w:eastAsia="仿宋" w:cs="仿宋"/>
          <w:sz w:val="28"/>
          <w:szCs w:val="28"/>
          <w:lang w:val="en-US" w:eastAsia="zh-CN"/>
        </w:rPr>
        <w:t>见</w:t>
      </w:r>
      <w:r>
        <w:rPr>
          <w:rFonts w:hint="eastAsia" w:ascii="仿宋" w:hAnsi="仿宋" w:eastAsia="仿宋" w:cs="仿宋"/>
          <w:sz w:val="28"/>
          <w:szCs w:val="28"/>
        </w:rPr>
        <w:t>附件)；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（2）江西省教育考试院网站（网址：www.jxeea.cn)“专升本报名系统”中退役大学生士兵免试专升本报名基本信息与资格审核通过截图纸质稿；</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（3）考生本人身份证（正反面）复印件；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（4）已取得普通高校高职(专科）毕业证的学生须提供毕业证</w:t>
      </w:r>
      <w:r>
        <w:rPr>
          <w:rFonts w:hint="eastAsia" w:ascii="仿宋" w:hAnsi="仿宋" w:eastAsia="仿宋" w:cs="仿宋"/>
          <w:sz w:val="28"/>
          <w:szCs w:val="28"/>
          <w:lang w:val="en-US" w:eastAsia="zh-CN"/>
        </w:rPr>
        <w:t>原件及</w:t>
      </w:r>
      <w:r>
        <w:rPr>
          <w:rFonts w:hint="eastAsia" w:ascii="仿宋" w:hAnsi="仿宋" w:eastAsia="仿宋" w:cs="仿宋"/>
          <w:sz w:val="28"/>
          <w:szCs w:val="28"/>
        </w:rPr>
        <w:t>复印件，外校尚未发放者须提供高职（专科）学校相关部门的学历或学籍证明。</w:t>
      </w:r>
    </w:p>
    <w:p>
      <w:pPr>
        <w:pStyle w:val="8"/>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时间、地点及要求</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val="0"/>
          <w:color w:val="auto"/>
          <w:sz w:val="28"/>
          <w:szCs w:val="28"/>
          <w:u w:val="single"/>
          <w:lang w:val="en-US" w:eastAsia="zh-CN"/>
        </w:rPr>
        <w:t>3</w:t>
      </w:r>
      <w:r>
        <w:rPr>
          <w:rFonts w:hint="eastAsia" w:ascii="仿宋" w:hAnsi="仿宋" w:eastAsia="仿宋" w:cs="仿宋"/>
          <w:b/>
          <w:bCs w:val="0"/>
          <w:color w:val="auto"/>
          <w:sz w:val="28"/>
          <w:szCs w:val="28"/>
          <w:u w:val="single"/>
        </w:rPr>
        <w:t>月</w:t>
      </w:r>
      <w:r>
        <w:rPr>
          <w:rFonts w:hint="eastAsia" w:ascii="仿宋" w:hAnsi="仿宋" w:eastAsia="仿宋" w:cs="仿宋"/>
          <w:b/>
          <w:bCs w:val="0"/>
          <w:color w:val="auto"/>
          <w:sz w:val="28"/>
          <w:szCs w:val="28"/>
          <w:u w:val="single"/>
          <w:lang w:val="en-US" w:eastAsia="zh-CN"/>
        </w:rPr>
        <w:t>12</w:t>
      </w:r>
      <w:r>
        <w:rPr>
          <w:rFonts w:hint="eastAsia" w:ascii="仿宋" w:hAnsi="仿宋" w:eastAsia="仿宋" w:cs="仿宋"/>
          <w:b/>
          <w:bCs w:val="0"/>
          <w:color w:val="auto"/>
          <w:sz w:val="28"/>
          <w:szCs w:val="28"/>
          <w:u w:val="single"/>
        </w:rPr>
        <w:t>日</w:t>
      </w:r>
      <w:r>
        <w:rPr>
          <w:rFonts w:hint="eastAsia" w:ascii="仿宋" w:hAnsi="仿宋" w:eastAsia="仿宋" w:cs="仿宋"/>
          <w:sz w:val="28"/>
          <w:szCs w:val="28"/>
        </w:rPr>
        <w:t>早晨</w:t>
      </w:r>
      <w:r>
        <w:rPr>
          <w:rFonts w:hint="eastAsia" w:ascii="仿宋" w:hAnsi="仿宋" w:eastAsia="仿宋" w:cs="仿宋"/>
          <w:sz w:val="28"/>
          <w:szCs w:val="28"/>
          <w:lang w:val="en-US" w:eastAsia="zh-CN"/>
        </w:rPr>
        <w:t>9</w:t>
      </w:r>
      <w:r>
        <w:rPr>
          <w:rFonts w:hint="eastAsia" w:ascii="仿宋" w:hAnsi="仿宋" w:eastAsia="仿宋" w:cs="仿宋"/>
          <w:sz w:val="28"/>
          <w:szCs w:val="28"/>
        </w:rPr>
        <w:t>点前考生凭本人有效身份证</w:t>
      </w:r>
      <w:r>
        <w:rPr>
          <w:rFonts w:hint="eastAsia" w:ascii="仿宋" w:hAnsi="仿宋" w:eastAsia="仿宋" w:cs="仿宋"/>
          <w:sz w:val="28"/>
          <w:szCs w:val="28"/>
          <w:lang w:eastAsia="zh-CN"/>
        </w:rPr>
        <w:t>、</w:t>
      </w:r>
      <w:r>
        <w:rPr>
          <w:rFonts w:hint="eastAsia" w:ascii="仿宋" w:hAnsi="仿宋" w:eastAsia="仿宋" w:cs="仿宋"/>
          <w:sz w:val="28"/>
          <w:szCs w:val="28"/>
        </w:rPr>
        <w:t>《豫章师范学院</w:t>
      </w:r>
      <w:r>
        <w:rPr>
          <w:rFonts w:hint="eastAsia" w:ascii="仿宋" w:hAnsi="仿宋" w:eastAsia="仿宋" w:cs="仿宋"/>
          <w:sz w:val="28"/>
          <w:szCs w:val="28"/>
          <w:lang w:eastAsia="zh-CN"/>
        </w:rPr>
        <w:t>2024</w:t>
      </w:r>
      <w:r>
        <w:rPr>
          <w:rFonts w:hint="eastAsia" w:ascii="仿宋" w:hAnsi="仿宋" w:eastAsia="仿宋" w:cs="仿宋"/>
          <w:sz w:val="28"/>
          <w:szCs w:val="28"/>
        </w:rPr>
        <w:t>年退役大学生士兵专升本报名申请表》</w:t>
      </w:r>
      <w:r>
        <w:rPr>
          <w:rFonts w:hint="eastAsia" w:ascii="仿宋" w:hAnsi="仿宋" w:eastAsia="仿宋" w:cs="仿宋"/>
          <w:sz w:val="28"/>
          <w:szCs w:val="28"/>
          <w:lang w:val="en-US" w:eastAsia="zh-CN"/>
        </w:rPr>
        <w:t>以及报名材料原件</w:t>
      </w:r>
      <w:r>
        <w:rPr>
          <w:rFonts w:hint="eastAsia" w:ascii="仿宋" w:hAnsi="仿宋" w:eastAsia="仿宋" w:cs="仿宋"/>
          <w:b/>
          <w:bCs/>
          <w:color w:val="FF0000"/>
          <w:sz w:val="28"/>
          <w:szCs w:val="28"/>
          <w:u w:val="single"/>
          <w:lang w:val="en-US" w:eastAsia="zh-CN"/>
        </w:rPr>
        <w:t>（包括专科毕业证、获奖证书等相关证明材料）</w:t>
      </w:r>
      <w:r>
        <w:rPr>
          <w:rFonts w:hint="eastAsia" w:ascii="仿宋" w:hAnsi="仿宋" w:eastAsia="仿宋" w:cs="仿宋"/>
          <w:sz w:val="28"/>
          <w:szCs w:val="28"/>
        </w:rPr>
        <w:t>到南昌市梅岭大道1999号豫章师范学院教学大楼一楼智慧教室</w:t>
      </w:r>
      <w:r>
        <w:rPr>
          <w:rFonts w:hint="eastAsia" w:ascii="仿宋" w:hAnsi="仿宋" w:eastAsia="仿宋" w:cs="仿宋"/>
          <w:sz w:val="28"/>
          <w:szCs w:val="28"/>
          <w:lang w:val="en-US" w:eastAsia="zh-CN"/>
        </w:rPr>
        <w:t>1</w:t>
      </w:r>
      <w:r>
        <w:rPr>
          <w:rFonts w:hint="eastAsia" w:ascii="仿宋" w:hAnsi="仿宋" w:eastAsia="仿宋" w:cs="仿宋"/>
          <w:sz w:val="28"/>
          <w:szCs w:val="28"/>
        </w:rPr>
        <w:t>进行验证、候考</w:t>
      </w:r>
      <w:r>
        <w:rPr>
          <w:rFonts w:hint="eastAsia" w:ascii="仿宋" w:hAnsi="仿宋" w:eastAsia="仿宋" w:cs="仿宋"/>
          <w:sz w:val="28"/>
          <w:szCs w:val="28"/>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考生考试前需提交报名材料原件，学校将对原件进行审核。</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Style w:val="12"/>
          <w:rFonts w:hint="eastAsia" w:ascii="仿宋" w:hAnsi="仿宋" w:eastAsia="仿宋" w:cs="仿宋"/>
          <w:sz w:val="28"/>
          <w:szCs w:val="28"/>
        </w:rPr>
      </w:pPr>
      <w:r>
        <w:rPr>
          <w:rStyle w:val="12"/>
          <w:rFonts w:hint="eastAsia" w:ascii="仿宋" w:hAnsi="仿宋" w:eastAsia="仿宋" w:cs="仿宋"/>
          <w:sz w:val="28"/>
          <w:szCs w:val="28"/>
          <w:lang w:val="en-US" w:eastAsia="zh-CN"/>
        </w:rPr>
        <w:t>四</w:t>
      </w:r>
      <w:r>
        <w:rPr>
          <w:rStyle w:val="12"/>
          <w:rFonts w:hint="eastAsia" w:ascii="仿宋" w:hAnsi="仿宋" w:eastAsia="仿宋" w:cs="仿宋"/>
          <w:sz w:val="28"/>
          <w:szCs w:val="28"/>
        </w:rPr>
        <w:t>、录取原则和办法</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省教育考试院依据招生高校综合评价合格名单及退役大学生士兵填报的志愿，按照2个梯度志愿顺序投档，我校根据退役士兵综合评价成绩由高到低顺序录取。梯度志愿梯度投档完成后，未能录取的退役大学生士兵（须为获得我校综合评价合格考生），可在规定时间内网上填报1个缺额征集志愿。征集志愿投档、录取参照梯度志愿原则执行。退役大学生士兵按照志愿已被免试录取后不再具有参加统一考试及录取资格。凡符合录取条件的考生，不得以自行放弃为由要求高校退档。未能被免试录取的退役大学生士兵可以参加统一考试，按所报志愿参加统一录取。</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经综合评价考查录取后未报到、自行放弃入学资格的退役大学生士兵，不再享受免试专升本政策。</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、其他说明</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b/>
          <w:bCs/>
          <w:sz w:val="28"/>
          <w:szCs w:val="28"/>
        </w:rPr>
        <w:t>特别提醒</w:t>
      </w:r>
      <w:r>
        <w:rPr>
          <w:rFonts w:hint="eastAsia" w:ascii="仿宋" w:hAnsi="仿宋" w:eastAsia="仿宋" w:cs="仿宋"/>
          <w:sz w:val="28"/>
          <w:szCs w:val="28"/>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我校未委托任何中介机构或个人进行培训、招生、录取工作。凡以我校名义进行非法培训、招生宣传等活动的中介机构或个人，我校保留依法追究其责任的权利。</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考生本人对其所有申请资料的真实性和准确性负责。我校对考生的资格审查将贯穿考试录取的全过程，一旦发现考生弄虚作假，将立即取消录取资格，因此所造成的一切损失和后果由考生本人承担。</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考生填写的联系方式一定要准确，保持开机状态，如联系不上导致未录取，后果自负。</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）本免试录取办法适用202</w:t>
      </w:r>
      <w:r>
        <w:rPr>
          <w:rFonts w:hint="eastAsia" w:ascii="仿宋" w:hAnsi="仿宋" w:eastAsia="仿宋" w:cs="仿宋"/>
          <w:sz w:val="28"/>
          <w:szCs w:val="28"/>
          <w:lang w:val="en-US" w:eastAsia="zh-CN"/>
        </w:rPr>
        <w:t>4</w:t>
      </w:r>
      <w:r>
        <w:rPr>
          <w:rFonts w:hint="eastAsia" w:ascii="仿宋" w:hAnsi="仿宋" w:eastAsia="仿宋" w:cs="仿宋"/>
          <w:sz w:val="28"/>
          <w:szCs w:val="28"/>
        </w:rPr>
        <w:t>年我校退役大学生士兵专升本专项招生，解释权归豫章师范学院。若与教育部和江西省相关规定不一致，以教育部和江西省的相关规定为准。</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三</w:t>
      </w:r>
      <w:r>
        <w:rPr>
          <w:rFonts w:hint="eastAsia" w:ascii="仿宋" w:hAnsi="仿宋" w:eastAsia="仿宋" w:cs="仿宋"/>
          <w:sz w:val="28"/>
          <w:szCs w:val="28"/>
        </w:rPr>
        <w:t>）联系方式</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咨询电话：</w:t>
      </w:r>
      <w:r>
        <w:rPr>
          <w:rFonts w:hint="eastAsia" w:ascii="仿宋" w:hAnsi="仿宋" w:eastAsia="仿宋" w:cs="仿宋"/>
          <w:sz w:val="28"/>
          <w:szCs w:val="28"/>
          <w:lang w:val="en-US" w:eastAsia="zh-CN"/>
        </w:rPr>
        <w:t>0791-</w:t>
      </w:r>
      <w:r>
        <w:rPr>
          <w:rFonts w:hint="eastAsia" w:ascii="仿宋" w:hAnsi="仿宋" w:eastAsia="仿宋" w:cs="仿宋"/>
          <w:sz w:val="28"/>
          <w:szCs w:val="28"/>
        </w:rPr>
        <w:t xml:space="preserve"> 87545147招就处</w:t>
      </w:r>
      <w:r>
        <w:rPr>
          <w:rFonts w:hint="eastAsia" w:ascii="仿宋" w:hAnsi="仿宋" w:eastAsia="仿宋" w:cs="仿宋"/>
          <w:sz w:val="28"/>
          <w:szCs w:val="28"/>
          <w:lang w:eastAsia="zh-CN"/>
        </w:rPr>
        <w:t>、</w:t>
      </w:r>
      <w:r>
        <w:rPr>
          <w:rFonts w:hint="eastAsia" w:ascii="仿宋" w:hAnsi="仿宋" w:eastAsia="仿宋" w:cs="仿宋"/>
          <w:sz w:val="28"/>
          <w:szCs w:val="28"/>
        </w:rPr>
        <w:t>0791-87545231教务处</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监督电话：0791-87545130（校纪委）</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联系地址：</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江西省南昌市红谷滩区梅岭大道1999号豫章师范学院</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r>
        <w:rPr>
          <w:rFonts w:hint="eastAsia" w:ascii="仿宋" w:hAnsi="仿宋" w:eastAsia="仿宋" w:cs="仿宋"/>
          <w:sz w:val="28"/>
          <w:szCs w:val="28"/>
        </w:rPr>
        <w:t>邮政编码：330103</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638" w:firstLineChars="228"/>
        <w:jc w:val="left"/>
        <w:textAlignment w:val="auto"/>
        <w:rPr>
          <w:rFonts w:hint="eastAsia" w:ascii="仿宋" w:hAnsi="仿宋" w:eastAsia="仿宋" w:cs="仿宋"/>
          <w:sz w:val="28"/>
          <w:szCs w:val="28"/>
        </w:rPr>
      </w:pPr>
    </w:p>
    <w:p>
      <w:pPr>
        <w:pStyle w:val="8"/>
        <w:keepNext w:val="0"/>
        <w:keepLines w:val="0"/>
        <w:pageBreakBefore w:val="0"/>
        <w:widowControl/>
        <w:kinsoku/>
        <w:wordWrap w:val="0"/>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豫章师范学院</w:t>
      </w:r>
      <w:r>
        <w:rPr>
          <w:rFonts w:hint="eastAsia" w:ascii="仿宋" w:hAnsi="仿宋" w:eastAsia="仿宋" w:cs="仿宋"/>
          <w:sz w:val="28"/>
          <w:szCs w:val="28"/>
          <w:lang w:val="en-US" w:eastAsia="zh-CN"/>
        </w:rPr>
        <w:t xml:space="preserve">  </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sz w:val="24"/>
          <w:szCs w:val="24"/>
        </w:rPr>
      </w:pPr>
      <w:r>
        <w:rPr>
          <w:rFonts w:hint="eastAsia" w:ascii="仿宋" w:hAnsi="仿宋" w:eastAsia="仿宋" w:cs="仿宋"/>
          <w:sz w:val="28"/>
          <w:szCs w:val="28"/>
          <w:lang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w:t>
      </w:r>
    </w:p>
    <w:p>
      <w:pPr>
        <w:pStyle w:val="8"/>
        <w:keepNext w:val="0"/>
        <w:keepLines w:val="0"/>
        <w:pageBreakBefore w:val="0"/>
        <w:widowControl/>
        <w:kinsoku/>
        <w:wordWrap/>
        <w:overflowPunct/>
        <w:topLinePunct w:val="0"/>
        <w:autoSpaceDE/>
        <w:autoSpaceDN/>
        <w:bidi w:val="0"/>
        <w:adjustRightInd/>
        <w:snapToGrid/>
        <w:spacing w:beforeAutospacing="0" w:afterAutospacing="0"/>
        <w:rPr>
          <w:rFonts w:hint="eastAsia"/>
          <w:b/>
          <w:bC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8"/>
        <w:keepNext w:val="0"/>
        <w:keepLines w:val="0"/>
        <w:pageBreakBefore w:val="0"/>
        <w:widowControl/>
        <w:kinsoku/>
        <w:wordWrap/>
        <w:overflowPunct/>
        <w:topLinePunct w:val="0"/>
        <w:autoSpaceDE/>
        <w:autoSpaceDN/>
        <w:bidi w:val="0"/>
        <w:adjustRightInd/>
        <w:snapToGrid/>
        <w:spacing w:beforeAutospacing="0" w:afterAutospacing="0"/>
        <w:rPr>
          <w:b/>
          <w:bCs/>
        </w:rPr>
      </w:pPr>
      <w:r>
        <w:rPr>
          <w:rFonts w:hint="eastAsia"/>
          <w:b/>
          <w:bCs/>
        </w:rPr>
        <w:t>附件：</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rPr>
          <w:rFonts w:asciiTheme="minorEastAsia" w:hAnsiTheme="minorEastAsia"/>
          <w:b/>
          <w:bCs/>
          <w:sz w:val="32"/>
          <w:szCs w:val="32"/>
        </w:rPr>
      </w:pPr>
      <w:r>
        <w:rPr>
          <w:rFonts w:hint="eastAsia" w:asciiTheme="minorEastAsia" w:hAnsiTheme="minorEastAsia"/>
          <w:b/>
          <w:bCs/>
          <w:sz w:val="32"/>
          <w:szCs w:val="32"/>
        </w:rPr>
        <w:t>豫章师范学院</w:t>
      </w:r>
      <w:r>
        <w:rPr>
          <w:rFonts w:hint="eastAsia" w:asciiTheme="minorEastAsia" w:hAnsiTheme="minorEastAsia"/>
          <w:b/>
          <w:bCs/>
          <w:sz w:val="32"/>
          <w:szCs w:val="32"/>
          <w:lang w:eastAsia="zh-CN"/>
        </w:rPr>
        <w:t>2024</w:t>
      </w:r>
      <w:r>
        <w:rPr>
          <w:rFonts w:hint="eastAsia" w:asciiTheme="minorEastAsia" w:hAnsiTheme="minorEastAsia"/>
          <w:b/>
          <w:bCs/>
          <w:sz w:val="32"/>
          <w:szCs w:val="32"/>
        </w:rPr>
        <w:t>年退役大学生士兵专升本报名申请表</w:t>
      </w:r>
    </w:p>
    <w:tbl>
      <w:tblPr>
        <w:tblStyle w:val="1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206"/>
        <w:gridCol w:w="1207"/>
        <w:gridCol w:w="1209"/>
        <w:gridCol w:w="1176"/>
        <w:gridCol w:w="120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姓名</w:t>
            </w:r>
          </w:p>
        </w:tc>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207"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性别</w:t>
            </w:r>
          </w:p>
        </w:tc>
        <w:tc>
          <w:tcPr>
            <w:tcW w:w="1209"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17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联系电话（手机）</w:t>
            </w:r>
          </w:p>
        </w:tc>
        <w:tc>
          <w:tcPr>
            <w:tcW w:w="1205"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950" w:type="dxa"/>
            <w:vMerge w:val="restart"/>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两寸</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免冠</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专科</w:t>
            </w:r>
            <w:r>
              <w:rPr>
                <w:rFonts w:hint="eastAsia"/>
              </w:rPr>
              <w:br w:type="textWrapping"/>
            </w:r>
            <w:r>
              <w:rPr>
                <w:rFonts w:hint="eastAsia"/>
              </w:rPr>
              <w:t>毕业时间</w:t>
            </w:r>
          </w:p>
        </w:tc>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207"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入伍时间</w:t>
            </w:r>
          </w:p>
        </w:tc>
        <w:tc>
          <w:tcPr>
            <w:tcW w:w="1209"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17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退役时间</w:t>
            </w:r>
          </w:p>
        </w:tc>
        <w:tc>
          <w:tcPr>
            <w:tcW w:w="1205"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950" w:type="dxa"/>
            <w:vMerge w:val="continue"/>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所学专科专业</w:t>
            </w:r>
          </w:p>
        </w:tc>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207"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专升本</w:t>
            </w:r>
            <w:r>
              <w:rPr>
                <w:rFonts w:hint="eastAsia"/>
              </w:rPr>
              <w:br w:type="textWrapping"/>
            </w:r>
            <w:r>
              <w:rPr>
                <w:rFonts w:hint="eastAsia"/>
              </w:rPr>
              <w:t>报考专业</w:t>
            </w:r>
          </w:p>
        </w:tc>
        <w:tc>
          <w:tcPr>
            <w:tcW w:w="1209"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c>
          <w:tcPr>
            <w:tcW w:w="117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lang w:val="en-US" w:eastAsia="zh-CN"/>
              </w:rPr>
              <w:t>专科毕业</w:t>
            </w:r>
            <w:r>
              <w:rPr>
                <w:rFonts w:hint="eastAsia"/>
              </w:rPr>
              <w:t>院校</w:t>
            </w:r>
          </w:p>
        </w:tc>
        <w:tc>
          <w:tcPr>
            <w:tcW w:w="3155" w:type="dxa"/>
            <w:gridSpan w:val="2"/>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1206" w:type="dxa"/>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获奖情况（在校期间和服役期间）</w:t>
            </w:r>
          </w:p>
        </w:tc>
        <w:tc>
          <w:tcPr>
            <w:tcW w:w="7953" w:type="dxa"/>
            <w:gridSpan w:val="6"/>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jc w:val="center"/>
        </w:trPr>
        <w:tc>
          <w:tcPr>
            <w:tcW w:w="9159" w:type="dxa"/>
            <w:gridSpan w:val="7"/>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个人申请</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 xml:space="preserve">                                    申请人：</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r>
              <w:rPr>
                <w:rFonts w:hint="eastAsia"/>
              </w:rPr>
              <w:t xml:space="preserve">                                   日  期：</w:t>
            </w:r>
          </w:p>
          <w:p>
            <w:pPr>
              <w:pStyle w:val="8"/>
              <w:keepNext w:val="0"/>
              <w:keepLines w:val="0"/>
              <w:pageBreakBefore w:val="0"/>
              <w:widowControl/>
              <w:kinsoku/>
              <w:wordWrap/>
              <w:overflowPunct/>
              <w:topLinePunct w:val="0"/>
              <w:autoSpaceDE/>
              <w:autoSpaceDN/>
              <w:bidi w:val="0"/>
              <w:adjustRightInd/>
              <w:snapToGrid/>
              <w:spacing w:beforeAutospacing="0" w:afterAutospacing="0"/>
              <w:jc w:val="center"/>
            </w:pPr>
          </w:p>
        </w:tc>
      </w:tr>
    </w:tbl>
    <w:p>
      <w:pPr>
        <w:pStyle w:val="8"/>
        <w:keepNext w:val="0"/>
        <w:keepLines w:val="0"/>
        <w:pageBreakBefore w:val="0"/>
        <w:widowControl/>
        <w:kinsoku/>
        <w:wordWrap/>
        <w:overflowPunct/>
        <w:topLinePunct w:val="0"/>
        <w:autoSpaceDE/>
        <w:autoSpaceDN/>
        <w:bidi w:val="0"/>
        <w:adjustRightInd/>
        <w:snapToGrid/>
        <w:spacing w:beforeAutospacing="0" w:afterAutospacing="0"/>
        <w:jc w:val="center"/>
        <w:rPr>
          <w:rFonts w:hint="eastAsia" w:eastAsiaTheme="minorEastAsia"/>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FangSong_GB2312">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embedRegular r:id="rId1" w:fontKey="{54FF08BB-1A4F-4FDF-A912-81BF15B6462B}"/>
  </w:font>
  <w:font w:name="仿宋">
    <w:panose1 w:val="02010609060101010101"/>
    <w:charset w:val="86"/>
    <w:family w:val="auto"/>
    <w:pitch w:val="default"/>
    <w:sig w:usb0="800002BF" w:usb1="38CF7CFA" w:usb2="00000016" w:usb3="00000000" w:csb0="00040001" w:csb1="00000000"/>
    <w:embedRegular r:id="rId2" w:fontKey="{1C4DB3F6-810D-4DE1-AE69-8193A4E622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1749B4"/>
    <w:multiLevelType w:val="singleLevel"/>
    <w:tmpl w:val="D71749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jFiNzEwNDNjNGIyYzdmM2I4MTllZGZmOWFiN2UifQ=="/>
  </w:docVars>
  <w:rsids>
    <w:rsidRoot w:val="00172A27"/>
    <w:rsid w:val="00172A27"/>
    <w:rsid w:val="00184A41"/>
    <w:rsid w:val="00326563"/>
    <w:rsid w:val="00431DE6"/>
    <w:rsid w:val="00432F0C"/>
    <w:rsid w:val="004B7640"/>
    <w:rsid w:val="004D2797"/>
    <w:rsid w:val="004F055E"/>
    <w:rsid w:val="00560D59"/>
    <w:rsid w:val="005C01F1"/>
    <w:rsid w:val="006C56D2"/>
    <w:rsid w:val="00797919"/>
    <w:rsid w:val="007C311A"/>
    <w:rsid w:val="00824464"/>
    <w:rsid w:val="0083325F"/>
    <w:rsid w:val="008447DA"/>
    <w:rsid w:val="008678B1"/>
    <w:rsid w:val="008F5D57"/>
    <w:rsid w:val="00902559"/>
    <w:rsid w:val="00947638"/>
    <w:rsid w:val="00985A13"/>
    <w:rsid w:val="009A550D"/>
    <w:rsid w:val="009F6CDE"/>
    <w:rsid w:val="00A34FEC"/>
    <w:rsid w:val="00AA48AA"/>
    <w:rsid w:val="00B10502"/>
    <w:rsid w:val="00D36517"/>
    <w:rsid w:val="00DC22D5"/>
    <w:rsid w:val="00E30A1C"/>
    <w:rsid w:val="00E334C3"/>
    <w:rsid w:val="00E617B6"/>
    <w:rsid w:val="00ED2F95"/>
    <w:rsid w:val="00EE2522"/>
    <w:rsid w:val="00F07F55"/>
    <w:rsid w:val="00FE3C84"/>
    <w:rsid w:val="02054B57"/>
    <w:rsid w:val="06394E51"/>
    <w:rsid w:val="073D5165"/>
    <w:rsid w:val="0B5910DE"/>
    <w:rsid w:val="0E884609"/>
    <w:rsid w:val="0FB12275"/>
    <w:rsid w:val="10FC4332"/>
    <w:rsid w:val="123572C2"/>
    <w:rsid w:val="142D3EC6"/>
    <w:rsid w:val="14830684"/>
    <w:rsid w:val="162E31FE"/>
    <w:rsid w:val="17A40699"/>
    <w:rsid w:val="1FD70A9A"/>
    <w:rsid w:val="20BC6A3E"/>
    <w:rsid w:val="24F36F9A"/>
    <w:rsid w:val="28852AB5"/>
    <w:rsid w:val="2A052497"/>
    <w:rsid w:val="2FC6579C"/>
    <w:rsid w:val="306E2D5B"/>
    <w:rsid w:val="31DE791C"/>
    <w:rsid w:val="33B8638E"/>
    <w:rsid w:val="33CF2B0E"/>
    <w:rsid w:val="34DA5B49"/>
    <w:rsid w:val="36A60617"/>
    <w:rsid w:val="39AB415A"/>
    <w:rsid w:val="3A620A51"/>
    <w:rsid w:val="3C131A3E"/>
    <w:rsid w:val="3D027CAA"/>
    <w:rsid w:val="3F105326"/>
    <w:rsid w:val="425C3C21"/>
    <w:rsid w:val="4CF376BF"/>
    <w:rsid w:val="51A344E9"/>
    <w:rsid w:val="54AB62EF"/>
    <w:rsid w:val="54FA6E1F"/>
    <w:rsid w:val="578C6020"/>
    <w:rsid w:val="59EA0B52"/>
    <w:rsid w:val="5A6F2223"/>
    <w:rsid w:val="5AE0774A"/>
    <w:rsid w:val="5FC8184B"/>
    <w:rsid w:val="666C7F06"/>
    <w:rsid w:val="68903854"/>
    <w:rsid w:val="6A59605B"/>
    <w:rsid w:val="6C0E1756"/>
    <w:rsid w:val="6C8F4CEE"/>
    <w:rsid w:val="6D1715DB"/>
    <w:rsid w:val="6E2D200C"/>
    <w:rsid w:val="6E900CEF"/>
    <w:rsid w:val="71B265BC"/>
    <w:rsid w:val="71F6082D"/>
    <w:rsid w:val="788515A6"/>
    <w:rsid w:val="795269EF"/>
    <w:rsid w:val="7C4E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Arial Unicode MS" w:hAnsi="Arial Unicode MS" w:eastAsia="Arial Unicode MS" w:cs="Arial Unicode MS"/>
      <w:sz w:val="32"/>
      <w:szCs w:val="32"/>
      <w:lang w:val="zh-CN" w:bidi="zh-CN"/>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Default"/>
    <w:unhideWhenUsed/>
    <w:qFormat/>
    <w:uiPriority w:val="99"/>
    <w:pPr>
      <w:widowControl w:val="0"/>
      <w:autoSpaceDE w:val="0"/>
      <w:autoSpaceDN w:val="0"/>
      <w:adjustRightInd w:val="0"/>
    </w:pPr>
    <w:rPr>
      <w:rFonts w:hint="eastAsia" w:ascii="FangSong_GB2312" w:hAnsi="FangSong_GB2312" w:eastAsia="FangSong_GB2312" w:cs="Times New Roman"/>
      <w:color w:val="000000"/>
      <w:sz w:val="24"/>
      <w:szCs w:val="24"/>
      <w:lang w:val="en-US" w:eastAsia="zh-CN" w:bidi="ar-SA"/>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Pages>
  <Words>1636</Words>
  <Characters>1823</Characters>
  <Lines>16</Lines>
  <Paragraphs>4</Paragraphs>
  <TotalTime>32</TotalTime>
  <ScaleCrop>false</ScaleCrop>
  <LinksUpToDate>false</LinksUpToDate>
  <CharactersWithSpaces>1905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2022-02-10T01:37:00Z</dcterms:created>
  <dc:creator>123</dc:creator>
  <cp:lastModifiedBy>建飞</cp:lastModifiedBy>
  <cp:lastPrinted>2024-02-28T03:19:00Z</cp:lastPrinted>
  <dcterms:modified xsi:type="dcterms:W3CDTF">2024-02-28T13:41:00Z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B7F2CC2412B1462ABEC8E52D381710B1_13</vt:lpwstr>
  </property>
</Properties>
</file>