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附件3：</w:t>
      </w:r>
    </w:p>
    <w:tbl>
      <w:tblPr>
        <w:tblStyle w:val="3"/>
        <w:tblpPr w:leftFromText="180" w:rightFromText="180" w:vertAnchor="text" w:horzAnchor="page" w:tblpX="1781" w:tblpY="1403"/>
        <w:tblOverlap w:val="never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2466"/>
        <w:gridCol w:w="1885"/>
        <w:gridCol w:w="2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749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收费项目</w:t>
            </w:r>
          </w:p>
        </w:tc>
        <w:tc>
          <w:tcPr>
            <w:tcW w:w="24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专业及代码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收费标准（元）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文件依据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普通高校学费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理工（2）体育类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水利水电工程（081101）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风景园林（082803）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机械设计制造及其自动化（080202）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通信工程(080703）</w:t>
            </w:r>
          </w:p>
        </w:tc>
        <w:tc>
          <w:tcPr>
            <w:tcW w:w="1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4790元/生.学年</w:t>
            </w:r>
          </w:p>
        </w:tc>
        <w:tc>
          <w:tcPr>
            <w:tcW w:w="217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江西省人民政府办公厅赣府厅字[2016]51号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普通高校学费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艺术类</w:t>
            </w:r>
          </w:p>
        </w:tc>
        <w:tc>
          <w:tcPr>
            <w:tcW w:w="246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数字媒体艺术（130508</w:t>
            </w:r>
            <w:r>
              <w:rPr>
                <w:rFonts w:hint="eastAsia" w:asciiTheme="minorEastAsia" w:hAnsiTheme="minorEastAsia" w:cstheme="minorEastAsia"/>
                <w:caps w:val="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88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caps w:val="0"/>
                <w:spacing w:val="0"/>
                <w:sz w:val="24"/>
                <w:szCs w:val="24"/>
                <w:u w:val="none"/>
                <w:lang w:val="en-US" w:eastAsia="zh-CN"/>
              </w:rPr>
              <w:t>8800</w:t>
            </w:r>
            <w:r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  <w:t>元/生.学年</w:t>
            </w:r>
          </w:p>
        </w:tc>
        <w:tc>
          <w:tcPr>
            <w:tcW w:w="2177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南昌工程学院202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年专升本招生专业收费标准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ZGJjOTE3MWI5MjRmOTdlODdjZWRmZjBlNzhjNzcifQ=="/>
  </w:docVars>
  <w:rsids>
    <w:rsidRoot w:val="6C5F6393"/>
    <w:rsid w:val="6C5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2024-03-15T08:23:00Z</dcterms:created>
  <dc:creator>24小时白昼</dc:creator>
  <cp:lastModifiedBy>24小时白昼</cp:lastModifiedBy>
  <dcterms:modified xsi:type="dcterms:W3CDTF">2024-03-15T08:23:26Z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8E1139823331450E90BD8B04A1268CD1_11</vt:lpwstr>
  </property>
</Properties>
</file>